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Bertolini Jeffrey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1800 ASTON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CARLSBAD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92008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CARLSMED,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CARL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Operating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34"/>
        <w:gridCol w:w="905"/>
        <w:gridCol w:w="774"/>
        <w:gridCol w:w="601"/>
        <w:gridCol w:w="351"/>
        <w:gridCol w:w="812"/>
        <w:gridCol w:w="461"/>
        <w:gridCol w:w="759"/>
        <w:gridCol w:w="1174"/>
        <w:gridCol w:w="1006"/>
        <w:gridCol w:w="928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34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3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8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34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8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5.915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23,236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434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10/05/2026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1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14.39</w:t>
            </w:r>
          </w:p>
        </w:tc>
        <w:tc>
          <w:tcPr>
            <w:tcW w:w="11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22,489</w:t>
            </w:r>
          </w:p>
        </w:tc>
        <w:tc>
          <w:tcPr>
            <w:tcW w:w="10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67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302"/>
        <w:gridCol w:w="499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67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1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5.915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10/05/2026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M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747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04/09/2035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747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21,655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The sales reported were effected pursuant to a Rule 10b5-1 trading plan adopted by the Reporting Person on March 12,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25% of the original number of shares subject to the stock option vested on March 3, 2026, and the remaining 75% of the original number of shares subject to the stock option will vest in 1/36th installments on a monthly basis thereafter, subject to the Reporting Person's continued service through each such vesting date.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Michael Cordonnier, as attorney-in-fact for Jeffrey Bertolini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10/06/2026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2147819" TargetMode="External"/><Relationship Id="rId5" Type="http://schemas.openxmlformats.org/officeDocument/2006/relationships/hyperlink" Target="http://www.sec.gov/cgi-bin/browse-edgar?action=getcompany&amp;CIK=000179454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669</Words>
  <Characters>3590</Characters>
  <CharactersWithSpaces>4170</CharactersWithSpaces>
  <Paragraphs>117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