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18"/>
        </w:rPr>
      </w:pPr>
      <w:bookmarkStart w:id="0" w:name="carl-20261001.htm"/>
      <w:bookmarkStart w:id="1" w:name="kscarl20261001"/>
      <w:bookmarkEnd w:id="0"/>
      <w:bookmarkEnd w:id="1"/>
      <w:r>
        <w:rPr>
          <w:rFonts w:ascii="Times New Roman" w:hAnsi="Times New Roman"/>
          <w:b/>
          <w:color w:val="000000"/>
          <w:sz w:val="18"/>
        </w:rPr>
        <w:t>As filed with the Securities and Exchange Commission on October 1, 2026</w:t>
      </w:r>
    </w:p>
    <w:p>
      <w:pPr>
        <w:pStyle w:val="TextBody"/>
        <w:bidi w:val="0"/>
        <w:spacing w:before="40" w:after="283"/>
        <w:jc w:val="right"/>
        <w:rPr>
          <w:rFonts w:ascii="Times New Roman" w:hAnsi="Times New Roman"/>
          <w:b/>
          <w:color w:val="000000"/>
          <w:sz w:val="18"/>
        </w:rPr>
      </w:pPr>
      <w:r>
        <w:rPr>
          <w:rFonts w:ascii="Times New Roman" w:hAnsi="Times New Roman"/>
          <w:b/>
          <w:color w:val="000000"/>
          <w:sz w:val="18"/>
        </w:rPr>
        <w:t>Registration No. 333-</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32"/>
        </w:rPr>
      </w:pPr>
      <w:r>
        <w:rPr>
          <w:rFonts w:ascii="Times New Roman" w:hAnsi="Times New Roman"/>
          <w:b/>
          <w:color w:val="000000"/>
          <w:sz w:val="32"/>
        </w:rPr>
        <w:t>UNITED STATES</w:t>
      </w:r>
      <w:r>
        <w:rPr>
          <w:rFonts w:ascii="Times New Roman" w:hAnsi="Times New Roman"/>
          <w:color w:val="000000"/>
          <w:sz w:val="32"/>
        </w:rPr>
        <w:t xml:space="preserve"> </w:t>
      </w:r>
    </w:p>
    <w:p>
      <w:pPr>
        <w:pStyle w:val="TextBody"/>
        <w:bidi w:val="0"/>
        <w:jc w:val="center"/>
        <w:rPr>
          <w:rFonts w:ascii="Times New Roman" w:hAnsi="Times New Roman"/>
          <w:sz w:val="32"/>
        </w:rPr>
      </w:pPr>
      <w:r>
        <w:rPr>
          <w:rFonts w:ascii="Times New Roman" w:hAnsi="Times New Roman"/>
          <w:b/>
          <w:color w:val="000000"/>
          <w:sz w:val="32"/>
        </w:rPr>
        <w:t>SECURITIES AND EXCHANGE COMMISSION</w:t>
      </w:r>
      <w:r>
        <w:rPr>
          <w:rFonts w:ascii="Times New Roman" w:hAnsi="Times New Roman"/>
          <w:color w:val="000000"/>
          <w:sz w:val="32"/>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S-8</w:t>
      </w:r>
    </w:p>
    <w:p>
      <w:pPr>
        <w:pStyle w:val="TextBody"/>
        <w:bidi w:val="0"/>
        <w:jc w:val="center"/>
        <w:rPr>
          <w:rFonts w:ascii="Times New Roman" w:hAnsi="Times New Roman"/>
          <w:sz w:val="32"/>
        </w:rPr>
      </w:pPr>
      <w:r>
        <w:rPr>
          <w:rFonts w:ascii="Times New Roman" w:hAnsi="Times New Roman"/>
          <w:b/>
          <w:color w:val="000000"/>
          <w:sz w:val="32"/>
        </w:rPr>
        <w:t>REGISTRATION STATEMENT</w:t>
      </w:r>
      <w:r>
        <w:rPr>
          <w:rFonts w:ascii="Times New Roman" w:hAnsi="Times New Roman"/>
          <w:color w:val="000000"/>
          <w:sz w:val="32"/>
        </w:rPr>
        <w:t xml:space="preserve"> </w:t>
      </w:r>
    </w:p>
    <w:p>
      <w:pPr>
        <w:pStyle w:val="TextBody"/>
        <w:bidi w:val="0"/>
        <w:jc w:val="center"/>
        <w:rPr>
          <w:rFonts w:ascii="Times New Roman" w:hAnsi="Times New Roman"/>
          <w:sz w:val="24"/>
        </w:rPr>
      </w:pPr>
      <w:r>
        <w:rPr>
          <w:rFonts w:ascii="Times New Roman" w:hAnsi="Times New Roman"/>
          <w:b/>
          <w:i/>
          <w:color w:val="000000"/>
          <w:sz w:val="24"/>
        </w:rPr>
        <w:t>UNDER</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i/>
          <w:color w:val="000000"/>
          <w:sz w:val="24"/>
        </w:rPr>
        <w:t>THE SECURITIES ACT OF 1933</w:t>
      </w:r>
      <w:r>
        <w:rPr>
          <w:rFonts w:ascii="Times New Roman" w:hAnsi="Times New Roman"/>
          <w:color w:val="000000"/>
          <w:sz w:val="24"/>
        </w:rPr>
        <w:t xml:space="preserve">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Carlsmed, Inc.</w:t>
      </w:r>
    </w:p>
    <w:p>
      <w:pPr>
        <w:pStyle w:val="TextBody"/>
        <w:bidi w:val="0"/>
        <w:jc w:val="center"/>
        <w:rPr>
          <w:rFonts w:ascii="Times New Roman" w:hAnsi="Times New Roman"/>
          <w:sz w:val="18"/>
        </w:rPr>
      </w:pPr>
      <w:r>
        <w:rPr>
          <w:rFonts w:ascii="Times New Roman" w:hAnsi="Times New Roman"/>
          <w:b/>
          <w:color w:val="000000"/>
          <w:sz w:val="18"/>
        </w:rPr>
        <w:t>(Exact name of registrant as specified in its charter)</w:t>
      </w:r>
      <w:r>
        <w:rPr>
          <w:rFonts w:ascii="Times New Roman" w:hAnsi="Times New Roman"/>
          <w:color w:val="000000"/>
          <w:sz w:val="18"/>
        </w:rPr>
        <w:t xml:space="preserve">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pPr>
      <w:r>
        <w:rPr/>
        <w:t> </w:t>
      </w:r>
    </w:p>
    <w:tbl>
      <w:tblPr>
        <w:tblW w:w="4611" w:type="dxa"/>
        <w:jc w:val="left"/>
        <w:tblInd w:w="0" w:type="dxa"/>
        <w:tblLayout w:type="fixed"/>
        <w:tblCellMar>
          <w:top w:w="28" w:type="dxa"/>
          <w:left w:w="28" w:type="dxa"/>
          <w:bottom w:w="28" w:type="dxa"/>
          <w:right w:w="28" w:type="dxa"/>
        </w:tblCellMar>
      </w:tblPr>
      <w:tblGrid>
        <w:gridCol w:w="3016"/>
        <w:gridCol w:w="109"/>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83-1081863</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1800 Aston Ave., Suite 100</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Carlsbad, California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92008</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Inducement Restricted Stock Unit Agreement for Richard Heppenstall</w:t>
      </w:r>
    </w:p>
    <w:p>
      <w:pPr>
        <w:pStyle w:val="TextBody"/>
        <w:bidi w:val="0"/>
        <w:jc w:val="center"/>
        <w:rPr>
          <w:rFonts w:ascii="Times New Roman" w:hAnsi="Times New Roman"/>
          <w:b/>
          <w:color w:val="000000"/>
          <w:sz w:val="16"/>
        </w:rPr>
      </w:pPr>
      <w:r>
        <w:rPr>
          <w:rFonts w:ascii="Times New Roman" w:hAnsi="Times New Roman"/>
          <w:b/>
          <w:color w:val="000000"/>
          <w:sz w:val="16"/>
        </w:rPr>
        <w:t>Inducement Restricted Stock Unit Agreement for Anthony Jarc</w:t>
      </w:r>
    </w:p>
    <w:p>
      <w:pPr>
        <w:pStyle w:val="TextBody"/>
        <w:bidi w:val="0"/>
        <w:jc w:val="center"/>
        <w:rPr>
          <w:rFonts w:ascii="Times New Roman" w:hAnsi="Times New Roman"/>
          <w:b/>
          <w:color w:val="000000"/>
          <w:sz w:val="16"/>
        </w:rPr>
      </w:pPr>
      <w:r>
        <w:rPr>
          <w:rFonts w:ascii="Times New Roman" w:hAnsi="Times New Roman"/>
          <w:b/>
          <w:color w:val="000000"/>
          <w:sz w:val="16"/>
        </w:rPr>
        <w:t>Inducement Stock Option Agreement for Richard Heppenstall</w:t>
      </w:r>
    </w:p>
    <w:p>
      <w:pPr>
        <w:pStyle w:val="TextBody"/>
        <w:bidi w:val="0"/>
        <w:jc w:val="center"/>
        <w:rPr>
          <w:rFonts w:ascii="Times New Roman" w:hAnsi="Times New Roman"/>
          <w:sz w:val="16"/>
        </w:rPr>
      </w:pPr>
      <w:r>
        <w:rPr>
          <w:rFonts w:ascii="Times New Roman" w:hAnsi="Times New Roman"/>
          <w:b/>
          <w:color w:val="000000"/>
          <w:sz w:val="16"/>
        </w:rPr>
        <w:t>Inducement Stock Option Agreement for Anthony Jarc</w:t>
      </w:r>
      <w:r>
        <w:rPr>
          <w:rFonts w:ascii="Times New Roman" w:hAnsi="Times New Roman"/>
          <w:color w:val="000000"/>
          <w:sz w:val="16"/>
        </w:rPr>
        <w:t xml:space="preserve"> </w:t>
      </w:r>
    </w:p>
    <w:p>
      <w:pPr>
        <w:pStyle w:val="TextBody"/>
        <w:bidi w:val="0"/>
        <w:jc w:val="center"/>
        <w:rPr>
          <w:rFonts w:ascii="Times New Roman" w:hAnsi="Times New Roman"/>
          <w:sz w:val="16"/>
        </w:rPr>
      </w:pPr>
      <w:r>
        <w:rPr>
          <w:rFonts w:ascii="Times New Roman" w:hAnsi="Times New Roman"/>
          <w:b/>
          <w:color w:val="000000"/>
          <w:sz w:val="16"/>
        </w:rPr>
        <w:t>(Full title of the plan)</w:t>
      </w:r>
      <w:r>
        <w:rPr>
          <w:rFonts w:ascii="Times New Roman" w:hAnsi="Times New Roman"/>
          <w:color w:val="000000"/>
          <w:sz w:val="16"/>
        </w:rPr>
        <w:t xml:space="preserve">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Michael Cordonnier</w:t>
      </w:r>
    </w:p>
    <w:p>
      <w:pPr>
        <w:pStyle w:val="TextBody"/>
        <w:bidi w:val="0"/>
        <w:jc w:val="center"/>
        <w:rPr>
          <w:rFonts w:ascii="Times New Roman" w:hAnsi="Times New Roman"/>
          <w:b/>
          <w:color w:val="000000"/>
          <w:sz w:val="16"/>
        </w:rPr>
      </w:pPr>
      <w:r>
        <w:rPr>
          <w:rFonts w:ascii="Times New Roman" w:hAnsi="Times New Roman"/>
          <w:b/>
          <w:color w:val="000000"/>
          <w:sz w:val="16"/>
        </w:rPr>
        <w:t>Chief Executive Officer</w:t>
        <w:br/>
        <w:t>Carlsmed, Inc.</w:t>
        <w:br/>
        <w:t>1800 Aston Ave., Suite 100</w:t>
      </w:r>
    </w:p>
    <w:p>
      <w:pPr>
        <w:pStyle w:val="TextBody"/>
        <w:bidi w:val="0"/>
        <w:jc w:val="center"/>
        <w:rPr>
          <w:rFonts w:ascii="Times New Roman" w:hAnsi="Times New Roman"/>
          <w:b/>
          <w:color w:val="000000"/>
          <w:sz w:val="16"/>
        </w:rPr>
      </w:pPr>
      <w:r>
        <w:rPr>
          <w:rFonts w:ascii="Times New Roman" w:hAnsi="Times New Roman"/>
          <w:b/>
          <w:color w:val="000000"/>
          <w:sz w:val="16"/>
        </w:rPr>
        <w:t>Carlsbad, California 92008</w:t>
      </w:r>
    </w:p>
    <w:p>
      <w:pPr>
        <w:pStyle w:val="TextBody"/>
        <w:bidi w:val="0"/>
        <w:jc w:val="center"/>
        <w:rPr>
          <w:rFonts w:ascii="Times New Roman" w:hAnsi="Times New Roman"/>
          <w:sz w:val="16"/>
        </w:rPr>
      </w:pPr>
      <w:r>
        <w:rPr>
          <w:rFonts w:ascii="Times New Roman" w:hAnsi="Times New Roman"/>
          <w:b/>
          <w:color w:val="000000"/>
          <w:sz w:val="16"/>
        </w:rPr>
        <w:t>(Name and address of agent for service)</w:t>
      </w:r>
      <w:r>
        <w:rPr>
          <w:rFonts w:ascii="Times New Roman" w:hAnsi="Times New Roman"/>
          <w:color w:val="000000"/>
          <w:sz w:val="16"/>
        </w:rPr>
        <w:t xml:space="preserve"> </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(442) 325-2871</w:t>
      </w:r>
    </w:p>
    <w:p>
      <w:pPr>
        <w:pStyle w:val="TextBody"/>
        <w:bidi w:val="0"/>
        <w:jc w:val="center"/>
        <w:rPr>
          <w:rFonts w:ascii="Times New Roman" w:hAnsi="Times New Roman"/>
          <w:sz w:val="16"/>
        </w:rPr>
      </w:pPr>
      <w:r>
        <w:rPr>
          <w:rFonts w:ascii="Times New Roman" w:hAnsi="Times New Roman"/>
          <w:b/>
          <w:color w:val="000000"/>
          <w:sz w:val="16"/>
        </w:rPr>
        <w:t>(Telephone number, including area code, of agent for service)</w:t>
      </w:r>
      <w:r>
        <w:rPr>
          <w:rFonts w:ascii="Times New Roman" w:hAnsi="Times New Roman"/>
          <w:color w:val="000000"/>
          <w:sz w:val="16"/>
        </w:rPr>
        <w:t xml:space="preserve">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16"/>
        </w:rPr>
      </w:pPr>
      <w:r>
        <w:rPr>
          <w:rFonts w:ascii="Times New Roman" w:hAnsi="Times New Roman"/>
          <w:b/>
          <w:i/>
          <w:color w:val="000000"/>
          <w:sz w:val="16"/>
        </w:rPr>
        <w:t>With copies to:</w:t>
      </w:r>
      <w:r>
        <w:rPr>
          <w:rFonts w:ascii="Times New Roman" w:hAnsi="Times New Roman"/>
          <w:color w:val="000000"/>
          <w:sz w:val="16"/>
        </w:rPr>
        <w:t xml:space="preserve">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H. Thomas Felix</w:t>
      </w:r>
    </w:p>
    <w:p>
      <w:pPr>
        <w:pStyle w:val="TextBody"/>
        <w:bidi w:val="0"/>
        <w:jc w:val="center"/>
        <w:rPr>
          <w:rFonts w:ascii="Times New Roman" w:hAnsi="Times New Roman"/>
          <w:sz w:val="16"/>
        </w:rPr>
      </w:pPr>
      <w:r>
        <w:rPr>
          <w:rFonts w:ascii="Times New Roman" w:hAnsi="Times New Roman"/>
          <w:b/>
          <w:color w:val="000000"/>
          <w:sz w:val="16"/>
        </w:rPr>
        <w:t>R. John Hensley</w:t>
        <w:br/>
        <w:t>James M. Krenn</w:t>
        <w:br/>
        <w:t>Morrison &amp; Foerster LLP</w:t>
        <w:br/>
        <w:t>12531 High Bluff Drive</w:t>
        <w:br/>
        <w:t>Suite 200</w:t>
      </w:r>
      <w:r>
        <w:rPr>
          <w:rFonts w:ascii="Times New Roman" w:hAnsi="Times New Roman"/>
          <w:color w:val="000000"/>
          <w:sz w:val="16"/>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San Diego, California 92130</w:t>
      </w:r>
    </w:p>
    <w:p>
      <w:pPr>
        <w:pStyle w:val="TextBody"/>
        <w:bidi w:val="0"/>
        <w:jc w:val="center"/>
        <w:rPr>
          <w:rFonts w:ascii="Times New Roman" w:hAnsi="Times New Roman"/>
          <w:b/>
          <w:color w:val="000000"/>
          <w:sz w:val="16"/>
        </w:rPr>
      </w:pPr>
      <w:r>
        <w:rPr>
          <w:rFonts w:ascii="Times New Roman" w:hAnsi="Times New Roman"/>
          <w:b/>
          <w:color w:val="000000"/>
          <w:sz w:val="16"/>
        </w:rPr>
        <w:t>(858) 720-5100</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4696" w:type="dxa"/>
        <w:jc w:val="left"/>
        <w:tblInd w:w="0" w:type="dxa"/>
        <w:tblLayout w:type="fixed"/>
        <w:tblCellMar>
          <w:top w:w="28" w:type="dxa"/>
          <w:left w:w="28" w:type="dxa"/>
          <w:bottom w:w="28" w:type="dxa"/>
          <w:right w:w="28" w:type="dxa"/>
        </w:tblCellMar>
      </w:tblPr>
      <w:tblGrid>
        <w:gridCol w:w="1666"/>
        <w:gridCol w:w="109"/>
        <w:gridCol w:w="316"/>
        <w:gridCol w:w="109"/>
        <w:gridCol w:w="2026"/>
        <w:gridCol w:w="109"/>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7"/>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single" w:sz="4"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Registration Statement on Form S-8 (the “Registration Statement”) is being filed by Carlsmed, Inc., a Delaware corporation (the “Registrant”), for the purpose of registering an aggregate of 465,622 shares of the Registrant’s common stock, par value $0.00001 per share (the “Common Stock”), granted as inducement grants to certain of the Registrant’s new employees, authorized for issuance upon (i) the vesting and settlement of 89,286 restricted stock units (“RSUs”) granted to Richard Heppenstall (the “Heppenstall Inducement RSU Grant”), (ii) the vesting and settlement of 63,735 RSUs granted to Anthony Jarc (the “Jarc Inducement RSU Grant”), (iii) 180,137 shares issuable upon the vesting and exercise of a stock option granted to Mr. Heppenstall (the “Heppenstall Inducement Stock Option Grant”) and (iv) 132,464 shares issuable upon the vesting and exercise of a stock option granted to Mr. Jarc (the “Jarc Inducement Stock Option Grant” and, together with the Heppenstall Inducement RSU Grant, the Jarc Inducement RSU Grant and the Heppenstall Inducement Stock Option Grant, the “Inducement Grants”). The Heppenstall Inducement RSU Grant and the Heppenstall Inducement Stock Option Grant were granted on September 28, 2026, and the Jarc Inducement RSU Grant and the Jarc Inducement Stock Option Grant will be granted on or about October 1, 2026. The Compensation Committee of the Registrant’s Board of Directors approved the Inducement Grants as an inducement material to each of Mr. Heppenstall and Mr. Jarc entering into employment with the Registrant in accordance with Nasdaq Listing Rule 5635(c)(4), which exempts employment inducement grants from the general requirement of the Nasdaq Listing Rules that equity-based compensation plans and arrangements be approved by stockholders. The Inducement Grants were, and will be, made outside of any equity incentive plan of the Registrant.</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Registration Statement relates to the Inducement Grants. With respect to the Inducement Grants, the document(s) containing the information specified in Part I will be sent or given to participants as specified by Rule 428(b)(1) of the Securities Act of 1933, as amended (the “Securities Act”). In accordance with the Note to Part I of Form S-8, such documents are not being filed with the Securities and Exchange Commission (the “Commission”) either as part of this Registration Statement or as prospectuses or prospectus supplements pursuant to Rule 424 of the Securities Act. Such documents and the documents incorporated by reference in this Registration Statement pursuant to Item 3 of Part II hereof, taken together, constitute a prospectus that meets the requirements of Section 10(a) of the Securities Act.</w:t>
      </w:r>
    </w:p>
    <w:p>
      <w:pPr>
        <w:pStyle w:val="TextBody"/>
        <w:bidi w:val="0"/>
        <w:spacing w:before="24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documents, which have been filed by the Registrant with the Commission, are incorporated by reference herein and shall be deemed to be a part hereof: </w:t>
      </w:r>
    </w:p>
    <w:p>
      <w:pPr>
        <w:pStyle w:val="TextBody"/>
        <w:bidi w:val="0"/>
        <w:spacing w:before="240" w:after="283"/>
        <w:jc w:val="left"/>
        <w:rPr/>
      </w:pPr>
      <w:r>
        <w:rPr>
          <w:rFonts w:ascii="Times New Roman" w:hAnsi="Times New Roman"/>
          <w:color w:val="000000"/>
          <w:sz w:val="20"/>
        </w:rPr>
        <w:t xml:space="preserve">(a) The Registrant’s Annual Report on </w:t>
      </w:r>
      <w:hyperlink r:id="rId2">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fiscal year ended December 31, 2025 filed with the Commission on February 25, 2026;</w:t>
      </w:r>
    </w:p>
    <w:p>
      <w:pPr>
        <w:pStyle w:val="TextBody"/>
        <w:bidi w:val="0"/>
        <w:spacing w:before="240" w:after="283"/>
        <w:jc w:val="left"/>
        <w:rPr/>
      </w:pPr>
      <w:r>
        <w:rPr>
          <w:rFonts w:ascii="Times New Roman" w:hAnsi="Times New Roman"/>
          <w:color w:val="000000"/>
          <w:sz w:val="20"/>
        </w:rPr>
        <w:t xml:space="preserve">(b) The information specifically incorporated by reference into the Registrant's Annual Report from the Registrant’s </w:t>
      </w:r>
      <w:hyperlink r:id="rId3">
        <w:r>
          <w:rPr>
            <w:rStyle w:val="InternetLink"/>
            <w:rFonts w:ascii="Times New Roman" w:hAnsi="Times New Roman"/>
            <w:color w:val="0000FF"/>
            <w:sz w:val="20"/>
            <w:u w:val="single"/>
          </w:rPr>
          <w:t>Definitive Proxy Statement on Schedule 14A</w:t>
        </w:r>
      </w:hyperlink>
      <w:r>
        <w:rPr>
          <w:rFonts w:ascii="Times New Roman" w:hAnsi="Times New Roman"/>
          <w:color w:val="000000"/>
          <w:sz w:val="20"/>
        </w:rPr>
        <w:t>, filed with the Commission on April 22, 2026;</w:t>
      </w:r>
    </w:p>
    <w:p>
      <w:pPr>
        <w:pStyle w:val="TextBody"/>
        <w:bidi w:val="0"/>
        <w:spacing w:before="240" w:after="283"/>
        <w:jc w:val="left"/>
        <w:rPr/>
      </w:pPr>
      <w:r>
        <w:rPr>
          <w:rFonts w:ascii="Times New Roman" w:hAnsi="Times New Roman"/>
          <w:color w:val="000000"/>
          <w:sz w:val="20"/>
        </w:rPr>
        <w:t xml:space="preserve">(c) The Registrant’s Quarterly Reports on Form 10-Q for the quarters ended </w:t>
      </w:r>
      <w:hyperlink r:id="rId4">
        <w:r>
          <w:rPr>
            <w:rStyle w:val="InternetLink"/>
            <w:rFonts w:ascii="Times New Roman" w:hAnsi="Times New Roman"/>
            <w:color w:val="0000FF"/>
            <w:sz w:val="20"/>
            <w:u w:val="single"/>
          </w:rPr>
          <w:t>March 31, 2026</w:t>
        </w:r>
      </w:hyperlink>
      <w:r>
        <w:rPr>
          <w:rFonts w:ascii="Times New Roman" w:hAnsi="Times New Roman"/>
          <w:color w:val="000000"/>
          <w:sz w:val="20"/>
        </w:rPr>
        <w:t xml:space="preserve"> and </w:t>
      </w:r>
      <w:hyperlink r:id="rId5">
        <w:r>
          <w:rPr>
            <w:rStyle w:val="InternetLink"/>
            <w:rFonts w:ascii="Times New Roman" w:hAnsi="Times New Roman"/>
            <w:color w:val="0000FF"/>
            <w:sz w:val="20"/>
            <w:u w:val="single"/>
          </w:rPr>
          <w:t>June 30, 2026</w:t>
        </w:r>
      </w:hyperlink>
      <w:r>
        <w:rPr>
          <w:rFonts w:ascii="Times New Roman" w:hAnsi="Times New Roman"/>
          <w:color w:val="000000"/>
          <w:sz w:val="20"/>
        </w:rPr>
        <w:t>, filed with the Commission on May 5, 2026 and August 5, 2026, respectively;</w:t>
      </w:r>
    </w:p>
    <w:p>
      <w:pPr>
        <w:pStyle w:val="TextBody"/>
        <w:bidi w:val="0"/>
        <w:spacing w:before="240" w:after="283"/>
        <w:jc w:val="left"/>
        <w:rPr/>
      </w:pPr>
      <w:r>
        <w:rPr>
          <w:rFonts w:ascii="Times New Roman" w:hAnsi="Times New Roman"/>
          <w:color w:val="000000"/>
          <w:sz w:val="20"/>
        </w:rPr>
        <w:t xml:space="preserve">(d) The Registrant’s Current Reports on Form 8-K filed with the Commission on </w:t>
      </w:r>
      <w:hyperlink r:id="rId6">
        <w:r>
          <w:rPr>
            <w:rStyle w:val="InternetLink"/>
            <w:rFonts w:ascii="Times New Roman" w:hAnsi="Times New Roman"/>
            <w:color w:val="0000FF"/>
            <w:sz w:val="20"/>
            <w:u w:val="single"/>
          </w:rPr>
          <w:t>June 3,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September 8, 2026</w:t>
        </w:r>
      </w:hyperlink>
      <w:r>
        <w:rPr>
          <w:rFonts w:ascii="Times New Roman" w:hAnsi="Times New Roman"/>
          <w:color w:val="000000"/>
          <w:sz w:val="20"/>
        </w:rPr>
        <w:t xml:space="preserve"> and </w:t>
      </w:r>
      <w:hyperlink r:id="rId8">
        <w:r>
          <w:rPr>
            <w:rStyle w:val="InternetLink"/>
            <w:rFonts w:ascii="Times New Roman" w:hAnsi="Times New Roman"/>
            <w:color w:val="0000FF"/>
            <w:sz w:val="20"/>
            <w:u w:val="single"/>
          </w:rPr>
          <w:t>September 30, 2026</w:t>
        </w:r>
      </w:hyperlink>
      <w:r>
        <w:rPr>
          <w:rFonts w:ascii="Times New Roman" w:hAnsi="Times New Roman"/>
          <w:color w:val="000000"/>
          <w:sz w:val="20"/>
        </w:rPr>
        <w:t>; and</w:t>
      </w:r>
    </w:p>
    <w:p>
      <w:pPr>
        <w:pStyle w:val="TextBody"/>
        <w:bidi w:val="0"/>
        <w:spacing w:before="240" w:after="283"/>
        <w:jc w:val="left"/>
        <w:rPr/>
      </w:pPr>
      <w:r>
        <w:rPr>
          <w:rFonts w:ascii="Times New Roman" w:hAnsi="Times New Roman"/>
          <w:color w:val="000000"/>
          <w:sz w:val="20"/>
        </w:rPr>
        <w:t xml:space="preserve">(e) The description of the Registrant’s capital stock set forth in the Registrant’s Annual Report on </w:t>
      </w:r>
      <w:hyperlink r:id="rId9">
        <w:r>
          <w:rPr>
            <w:rStyle w:val="InternetLink"/>
            <w:rFonts w:ascii="Times New Roman" w:hAnsi="Times New Roman"/>
            <w:color w:val="0000FF"/>
            <w:sz w:val="20"/>
            <w:u w:val="single"/>
          </w:rPr>
          <w:t>Form 10-K</w:t>
        </w:r>
      </w:hyperlink>
      <w:hyperlink r:id="rId10">
        <w:r>
          <w:rPr>
            <w:rStyle w:val="InternetLink"/>
            <w:rFonts w:ascii="Times New Roman" w:hAnsi="Times New Roman"/>
            <w:color w:val="0000FF"/>
            <w:sz w:val="20"/>
          </w:rPr>
          <w:t xml:space="preserve"> </w:t>
        </w:r>
      </w:hyperlink>
      <w:r>
        <w:rPr>
          <w:rFonts w:ascii="Times New Roman" w:hAnsi="Times New Roman"/>
          <w:color w:val="000000"/>
          <w:sz w:val="20"/>
        </w:rPr>
        <w:t>for the fiscal year ended December 31, 2025, filed with the Commission on February 25, 2026.</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all reports and other documents filed by the Registrant pursuant to Sections 13(a), 13(c), 14 and 15(d) of the Exchange Act subsequent to the date of this Registration Statement and prior to the filing of a post-effective amendment hereto which indicates that all securities offered have been sold or which deregisters all securities remaining unsold, shall be deemed to be incorporated by reference in this Registration Statement and to be part hereof from the date of filing of such documents; </w:t>
      </w:r>
      <w:r>
        <w:rPr>
          <w:rFonts w:ascii="Times New Roman" w:hAnsi="Times New Roman"/>
          <w:i/>
          <w:color w:val="000000"/>
          <w:sz w:val="20"/>
        </w:rPr>
        <w:t>provided, however</w:t>
      </w:r>
      <w:r>
        <w:rPr>
          <w:rFonts w:ascii="Times New Roman" w:hAnsi="Times New Roman"/>
          <w:color w:val="000000"/>
          <w:sz w:val="20"/>
        </w:rPr>
        <w:t xml:space="preserve">, that documents or information deemed to have been furnished and not filed in accordance with the rules of the Commission shall not be deemed incorporated by reference into this Registration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283"/>
        <w:jc w:val="left"/>
        <w:rPr>
          <w:rFonts w:ascii="Times New Roman" w:hAnsi="Times New Roman"/>
          <w:sz w:val="20"/>
        </w:rPr>
      </w:pPr>
      <w:r>
        <w:rPr>
          <w:rFonts w:ascii="Times New Roman" w:hAnsi="Times New Roman"/>
          <w:b/>
          <w:color w:val="000000"/>
          <w:sz w:val="20"/>
        </w:rPr>
        <w:t>Item 4. Description of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color w:val="000000"/>
          <w:sz w:val="20"/>
        </w:rPr>
        <w:t>Item 5. Interests of Named Experts and Counsel.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r>
        <w:rPr>
          <w:rFonts w:ascii="Times New Roman" w:hAnsi="Times New Roman"/>
          <w:b/>
          <w:color w:val="000000"/>
          <w:sz w:val="20"/>
        </w:rPr>
        <w:t>Item 6. Indemnification of Directors and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amended and restated certificate of incorporation and the Registrant’s amended and restated bylaws provide for indemnification by the Registrant of its directors and officers to the fullest extent permitted by the DGCL.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of (1) a director or officer for any breach of the director’s or officer’s duty of loyalty to the corporation or its stockholders, (2) a director or officer for acts or omissions not in good faith or which involve intentional misconduct or a knowing violation of law, (3) a director for unlawful payments of dividends or unlawful stock repurchases or redemptions as provided in Section 174 of the DGCL, (4) a director or officer for any transaction from which the director or officer derived an improper personal benefit or (5) an officer in any action by or in the right of the corporation. The Registrant’s amended and restated certificate of incorporation provides for such limitation of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 maintains standard policies of insurance under which coverage is provided (1) to the Registrant’s directors and officers against loss arising from claims made by reason of breach of duty or other wrongful act and (2) to the Registrant with respect to payments which may be made by the Registrant to its directors and officers pursuant to the above indemnification provision or otherwise as a matter of law. The Registrant’s amended and restated bylaws provide that the Registrant indemnify the Registrant’s directors and officers to the fullest extent permitted by the DGCL against liabilities that may arise by reason of their service to the Registrant and that the Registrant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 has entered into, and intend to continue to enter into, separate indemnification agreements with the Registrant’s directors and officers. These indemnification agreements generally require the Registrant, among other things, to indemnify its officers and directors against certain liabilities that may arise by reason of their status or service as directors or officers, other than liabilities arising from willful misconduct. These indemnification agreements also generally require the Registrant to advance any expenses incurred by the directors or officers as a result of any proceeding against them as to which they could be indemnified. These indemnification provisions and the indemnification agreements may be sufficiently broad to permit indemnification of the Registrant’s officers and directors for liabilities, including reimbursement of expenses incurred, arising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also the Undertakings set forth in the response to Item 9 herein.</w:t>
      </w:r>
    </w:p>
    <w:p>
      <w:pPr>
        <w:pStyle w:val="TextBody"/>
        <w:bidi w:val="0"/>
        <w:spacing w:before="240" w:after="283"/>
        <w:jc w:val="left"/>
        <w:rPr>
          <w:rFonts w:ascii="Times New Roman" w:hAnsi="Times New Roman"/>
          <w:sz w:val="20"/>
        </w:rPr>
      </w:pPr>
      <w:r>
        <w:rPr>
          <w:rFonts w:ascii="Times New Roman" w:hAnsi="Times New Roman"/>
          <w:b/>
          <w:color w:val="000000"/>
          <w:sz w:val="20"/>
        </w:rPr>
        <w:t>Item 7. Exemption from Registration Claimed.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 has filed the exhibits listed on the accompanying Exhibit Index of this Registration Statement.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 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Certificate of Incorporation of Carlsmed, Inc. (incorporated by reference to Exhibit 3.1 to the Current Report on Form 8-K dated July 24, 2025 (File No. 001-42756)).</w:t>
              </w:r>
            </w:hyperlink>
            <w:hyperlink r:id="rId12">
              <w:r>
                <w:rPr>
                  <w:rStyle w:val="InternetLink"/>
                  <w:rFonts w:ascii="Times New Roman" w:hAnsi="Times New Roman"/>
                  <w:color w:val="0563C1"/>
                  <w:sz w:val="20"/>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Amended and Restated Bylaws of Carlsmed, Inc. (incorporated by reference to Exhibit 3.2 to the Current Report on Form 8-K dated July 24, 2025 (File No. 001-42756)).</w:t>
              </w:r>
            </w:hyperlink>
            <w:hyperlink r:id="rId14">
              <w:r>
                <w:rPr>
                  <w:rStyle w:val="InternetLink"/>
                  <w:rFonts w:ascii="Times New Roman" w:hAnsi="Times New Roman"/>
                  <w:color w:val="0000FF"/>
                  <w:sz w:val="20"/>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carl-ex5_1.htm">
              <w:r>
                <w:rPr>
                  <w:rStyle w:val="InternetLink"/>
                  <w:rFonts w:ascii="Times New Roman" w:hAnsi="Times New Roman"/>
                  <w:color w:val="0000FF"/>
                  <w:sz w:val="20"/>
                  <w:u w:val="single"/>
                </w:rPr>
                <w:t>Opinion of Morrison &amp; Foerster LLP.</w:t>
              </w:r>
            </w:hyperlink>
            <w:hyperlink w:anchor="carl-ex5_1.htm">
              <w:r>
                <w:rPr>
                  <w:rStyle w:val="InternetLink"/>
                  <w:rFonts w:ascii="Times New Roman" w:hAnsi="Times New Roman"/>
                  <w:color w:val="0000FF"/>
                  <w:sz w:val="20"/>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carl-ex23_1.htm">
              <w:r>
                <w:rPr>
                  <w:rStyle w:val="InternetLink"/>
                  <w:rFonts w:ascii="Times New Roman" w:hAnsi="Times New Roman"/>
                  <w:color w:val="0000FF"/>
                  <w:sz w:val="20"/>
                  <w:u w:val="single"/>
                </w:rPr>
                <w:t>Consent of Independent Registered Public Accounting Firm</w:t>
              </w:r>
            </w:hyperlink>
            <w:hyperlink w:anchor="carl-ex23_1.htm">
              <w:r>
                <w:rPr>
                  <w:rStyle w:val="InternetLink"/>
                  <w:rFonts w:ascii="Times New Roman" w:hAnsi="Times New Roman"/>
                  <w:color w:val="0000FF"/>
                  <w:sz w:val="20"/>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carl-ex23_1.htm">
              <w:r>
                <w:rPr>
                  <w:rStyle w:val="InternetLink"/>
                  <w:rFonts w:ascii="Times New Roman" w:hAnsi="Times New Roman"/>
                  <w:color w:val="0000FF"/>
                  <w:sz w:val="20"/>
                  <w:u w:val="single"/>
                </w:rPr>
                <w:t>Consent of Morrison &amp; Foerster LLP (included as part of Exhibit 5.1).</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the signature pages of this Registration Statement).</w:t>
              </w:r>
            </w:hyperlink>
            <w:r>
              <w:rPr>
                <w:rFonts w:ascii="Times New Roman" w:hAnsi="Times New Roman"/>
                <w:color w:val="000000"/>
                <w:sz w:val="20"/>
              </w:rPr>
              <w:t xml:space="preserve">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Inducement Stock Option Award for Richard Heppenstall (incorporated by reference to Exhibit 10.5 to the Current Report on Form 8-K dated September 30, 2026 (File No. 001-42756)).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I</w:t>
            </w:r>
            <w:hyperlink r:id="rId16">
              <w:r>
                <w:rPr>
                  <w:rStyle w:val="InternetLink"/>
                  <w:rFonts w:ascii="Times New Roman" w:hAnsi="Times New Roman"/>
                  <w:color w:val="0000FF"/>
                  <w:sz w:val="20"/>
                  <w:u w:val="single"/>
                </w:rPr>
                <w:t>nducement Restricted Stock Unit Award for Richard Heppenstall (incorporated by reference to Exhibit 10.6 to the Current Report on Form 8-K dated September 30, 2026 (File No. 001-42756)).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carl-ex99_3.htm">
              <w:r>
                <w:rPr>
                  <w:rStyle w:val="InternetLink"/>
                  <w:rFonts w:ascii="Times New Roman" w:hAnsi="Times New Roman"/>
                  <w:color w:val="0000FF"/>
                  <w:sz w:val="20"/>
                  <w:u w:val="single"/>
                </w:rPr>
                <w:t>Form of Inducement Restricted Stock Unit Agreement.</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carl-ex99_4.htm">
              <w:r>
                <w:rPr>
                  <w:rStyle w:val="InternetLink"/>
                  <w:rFonts w:ascii="Times New Roman" w:hAnsi="Times New Roman"/>
                  <w:color w:val="0000FF"/>
                  <w:sz w:val="20"/>
                  <w:u w:val="single"/>
                </w:rPr>
                <w:t>Form of Inducement Stock Option Agreement.</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carl_exfilingfees.htm">
              <w:r>
                <w:rPr>
                  <w:rStyle w:val="InternetLink"/>
                  <w:rFonts w:ascii="Times New Roman" w:hAnsi="Times New Roman"/>
                  <w:color w:val="0000FF"/>
                  <w:sz w:val="20"/>
                  <w:u w:val="single"/>
                </w:rPr>
                <w:t>Filing Fee Table.</w:t>
              </w:r>
            </w:hyperlink>
            <w:hyperlink w:anchor="carl_exfilingfees.htm">
              <w:r>
                <w:rPr>
                  <w:rStyle w:val="InternetLink"/>
                  <w:rFonts w:ascii="Times New Roman" w:hAnsi="Times New Roman"/>
                  <w:color w:val="0000FF"/>
                  <w:sz w:val="20"/>
                </w:rPr>
                <w:t xml:space="preserve"> </w:t>
              </w:r>
            </w:hyperlink>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9. Undertakings.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The undersigned Registrant hereby undertakes: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To file, during any period in which offers or sales are being made, a post-effective amendment to this Registration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To include any prospectus required by Section 10(a)(3) of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(iii) To include any material information with respect to the plan of distribution not previously disclosed in this Registration Statement or any material change to such information in the Registration Statement; </w:t>
      </w:r>
      <w:r>
        <w:rPr>
          <w:rFonts w:ascii="Times New Roman" w:hAnsi="Times New Roman"/>
          <w:i/>
          <w:color w:val="000000"/>
          <w:sz w:val="20"/>
        </w:rPr>
        <w:t>provided, however</w:t>
      </w:r>
      <w:r>
        <w:rPr>
          <w:rFonts w:ascii="Times New Roman" w:hAnsi="Times New Roman"/>
          <w:color w:val="000000"/>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To remove from registration by means of a post-effective amendment any of the securities being registered which remain unsold at the termination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signatures"/>
      <w:bookmarkEnd w:id="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Carlsbad, State of California, on this first day of October, 2026.</w:t>
      </w:r>
    </w:p>
    <w:p>
      <w:pPr>
        <w:pStyle w:val="TextBody"/>
        <w:bidi w:val="0"/>
        <w:jc w:val="left"/>
        <w:rPr/>
      </w:pPr>
      <w:r>
        <w:rPr/>
        <w:t> </w:t>
      </w:r>
    </w:p>
    <w:tbl>
      <w:tblPr>
        <w:tblW w:w="5091" w:type="dxa"/>
        <w:jc w:val="left"/>
        <w:tblInd w:w="0" w:type="dxa"/>
        <w:tblLayout w:type="fixed"/>
        <w:tblCellMar>
          <w:top w:w="28" w:type="dxa"/>
          <w:left w:w="28" w:type="dxa"/>
          <w:bottom w:w="28" w:type="dxa"/>
          <w:right w:w="28" w:type="dxa"/>
        </w:tblCellMar>
      </w:tblPr>
      <w:tblGrid>
        <w:gridCol w:w="1771"/>
        <w:gridCol w:w="109"/>
        <w:gridCol w:w="3211"/>
      </w:tblGrid>
      <w:tr>
        <w:trPr/>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09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Carlsmed, Inc.</w:t>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October 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Michael Cordonnier</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Cordonnier</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spacing w:before="360" w:after="283"/>
        <w:jc w:val="center"/>
        <w:rPr>
          <w:rFonts w:ascii="Times New Roman" w:hAnsi="Times New Roman"/>
          <w:sz w:val="20"/>
        </w:rPr>
      </w:pPr>
      <w:r>
        <w:rPr>
          <w:rFonts w:ascii="Times New Roman" w:hAnsi="Times New Roman"/>
          <w:b/>
          <w:color w:val="000000"/>
          <w:sz w:val="20"/>
        </w:rPr>
        <w:t>SIGNATURES AND 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hereby constitutes and appoints Michael Cordonnier and Richard Heppenstall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to the Registration Statement), and to file the same, with all exhibits thereto, and any other documents in connection therewith,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persons in the capacities and on the dates indicated. </w:t>
      </w:r>
    </w:p>
    <w:p>
      <w:pPr>
        <w:pStyle w:val="TextBody"/>
        <w:bidi w:val="0"/>
        <w:jc w:val="left"/>
        <w:rPr/>
      </w:pPr>
      <w:r>
        <w:rPr/>
        <w:t> </w:t>
      </w:r>
    </w:p>
    <w:tbl>
      <w:tblPr>
        <w:tblW w:w="8816" w:type="dxa"/>
        <w:jc w:val="left"/>
        <w:tblInd w:w="0" w:type="dxa"/>
        <w:tblLayout w:type="fixed"/>
        <w:tblCellMar>
          <w:top w:w="28" w:type="dxa"/>
          <w:left w:w="28" w:type="dxa"/>
          <w:bottom w:w="28" w:type="dxa"/>
          <w:right w:w="28" w:type="dxa"/>
        </w:tblCellMar>
      </w:tblPr>
      <w:tblGrid>
        <w:gridCol w:w="2026"/>
        <w:gridCol w:w="109"/>
        <w:gridCol w:w="5116"/>
        <w:gridCol w:w="109"/>
        <w:gridCol w:w="1456"/>
      </w:tblGrid>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Michael Cordonnier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Cordonnier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Chairman, Chief Executive Officer, President and Co-Founder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 2026</w:t>
            </w:r>
          </w:p>
        </w:tc>
      </w:tr>
      <w:tr>
        <w:trPr/>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Richard Heppenstall</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Heppenstall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and Accounting Officer</w:t>
            </w: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 2026</w:t>
            </w:r>
          </w:p>
        </w:tc>
      </w:tr>
      <w:tr>
        <w:trPr/>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Kevin O‘Boyle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O‘Boyle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 2026</w:t>
            </w:r>
          </w:p>
        </w:tc>
      </w:tr>
      <w:tr>
        <w:trPr/>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Niall Casey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Niall Casey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 2026</w:t>
            </w:r>
          </w:p>
        </w:tc>
      </w:tr>
      <w:tr>
        <w:trPr/>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Robert Mittendorff</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Mittendorff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 2026</w:t>
            </w:r>
          </w:p>
        </w:tc>
      </w:tr>
      <w:tr>
        <w:trPr/>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Jonathan Root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Root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 2026</w:t>
            </w:r>
          </w:p>
        </w:tc>
      </w:tr>
      <w:tr>
        <w:trPr/>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Kevin Sidow</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Sidow</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 2026</w:t>
            </w:r>
          </w:p>
        </w:tc>
      </w:tr>
      <w:tr>
        <w:trPr/>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Philip Young</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Philip Young</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 w:name="carl-ex5_1.htm"/>
      <w:bookmarkStart w:id="4" w:name="kscarlex5_1"/>
      <w:bookmarkStart w:id="5" w:name="carl-ex5_1.htm"/>
      <w:bookmarkStart w:id="6" w:name="kscarlex5_1"/>
      <w:bookmarkEnd w:id="5"/>
      <w:bookmarkEnd w:id="6"/>
      <w:r>
        <w:br w:type="page"/>
      </w:r>
    </w:p>
    <w:tbl>
      <w:tblPr>
        <w:tblW w:w="10205" w:type="dxa"/>
        <w:jc w:val="left"/>
        <w:tblInd w:w="0" w:type="dxa"/>
        <w:tblLayout w:type="fixed"/>
        <w:tblCellMar>
          <w:top w:w="28" w:type="dxa"/>
          <w:left w:w="28" w:type="dxa"/>
          <w:bottom w:w="28" w:type="dxa"/>
          <w:right w:w="28" w:type="dxa"/>
        </w:tblCellMar>
      </w:tblPr>
      <w:tblGrid>
        <w:gridCol w:w="3206"/>
        <w:gridCol w:w="1920"/>
        <w:gridCol w:w="5079"/>
      </w:tblGrid>
      <w:tr>
        <w:trPr/>
        <w:tc>
          <w:tcPr>
            <w:tcW w:w="320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5079" w:type="dxa"/>
            <w:tcBorders/>
            <w:vAlign w:val="center"/>
          </w:tcPr>
          <w:p>
            <w:pPr>
              <w:pStyle w:val="TableContents"/>
              <w:bidi w:val="0"/>
              <w:spacing w:before="0" w:after="283"/>
              <w:jc w:val="left"/>
              <w:rPr>
                <w:sz w:val="4"/>
                <w:szCs w:val="4"/>
              </w:rPr>
            </w:pPr>
            <w:r>
              <w:rPr>
                <w:sz w:val="4"/>
                <w:szCs w:val="4"/>
              </w:rPr>
            </w:r>
          </w:p>
        </w:tc>
      </w:tr>
      <w:tr>
        <w:trPr/>
        <w:tc>
          <w:tcPr>
            <w:tcW w:w="32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71675" cy="133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1971675" cy="133350"/>
                          </a:xfrm>
                          <a:prstGeom prst="rect">
                            <a:avLst/>
                          </a:prstGeom>
                        </pic:spPr>
                      </pic:pic>
                    </a:graphicData>
                  </a:graphic>
                </wp:inline>
              </w:drawing>
            </w:r>
          </w:p>
        </w:tc>
        <w:tc>
          <w:tcPr>
            <w:tcW w:w="1920" w:type="dxa"/>
            <w:tcBorders/>
            <w:tcMar>
              <w:top w:w="0" w:type="dxa"/>
              <w:left w:w="0" w:type="dxa"/>
              <w:bottom w:w="0" w:type="dxa"/>
              <w:right w:w="0" w:type="dxa"/>
            </w:tcMar>
            <w:vAlign w:val="center"/>
          </w:tcPr>
          <w:p>
            <w:pPr>
              <w:pStyle w:val="TableContents"/>
              <w:bidi w:val="0"/>
              <w:jc w:val="left"/>
              <w:rPr>
                <w:rFonts w:ascii="Garamond;serif" w:hAnsi="Garamond;serif"/>
                <w:caps/>
                <w:color w:val="000000"/>
                <w:sz w:val="16"/>
              </w:rPr>
            </w:pPr>
            <w:r>
              <w:rPr>
                <w:rFonts w:ascii="Garamond;serif" w:hAnsi="Garamond;serif"/>
                <w:caps/>
                <w:color w:val="000000"/>
                <w:sz w:val="16"/>
              </w:rPr>
              <w:t>12531 High Bluff Drive</w:t>
              <w:br/>
              <w:t>Suite 200</w:t>
              <w:br/>
              <w:t>San Diego</w:t>
              <w:br/>
              <w:t>California 92130-3588</w:t>
            </w:r>
          </w:p>
          <w:p>
            <w:pPr>
              <w:pStyle w:val="TableContents"/>
              <w:bidi w:val="0"/>
              <w:spacing w:before="120" w:after="283"/>
              <w:jc w:val="left"/>
              <w:rPr>
                <w:rFonts w:ascii="Garamond;serif" w:hAnsi="Garamond;serif"/>
                <w:caps/>
                <w:color w:val="000000"/>
                <w:sz w:val="16"/>
              </w:rPr>
            </w:pPr>
            <w:r>
              <w:rPr>
                <w:rFonts w:ascii="Garamond;serif" w:hAnsi="Garamond;serif"/>
                <w:caps/>
                <w:color w:val="000000"/>
                <w:sz w:val="16"/>
              </w:rPr>
              <w:t>TELEPHONE: 858.720.5100</w:t>
            </w:r>
          </w:p>
          <w:p>
            <w:pPr>
              <w:pStyle w:val="TableContents"/>
              <w:bidi w:val="0"/>
              <w:jc w:val="left"/>
              <w:rPr>
                <w:rFonts w:ascii="Garamond;serif" w:hAnsi="Garamond;serif"/>
                <w:caps/>
                <w:color w:val="000000"/>
                <w:sz w:val="16"/>
              </w:rPr>
            </w:pPr>
            <w:r>
              <w:rPr>
                <w:rFonts w:ascii="Garamond;serif" w:hAnsi="Garamond;serif"/>
                <w:caps/>
                <w:color w:val="000000"/>
                <w:sz w:val="16"/>
              </w:rPr>
              <w:t>FACSIMILE: 858.720.5125</w:t>
            </w:r>
          </w:p>
          <w:p>
            <w:pPr>
              <w:pStyle w:val="TableContents"/>
              <w:bidi w:val="0"/>
              <w:spacing w:before="120" w:after="283"/>
              <w:jc w:val="left"/>
              <w:rPr>
                <w:rFonts w:ascii="Garamond;serif" w:hAnsi="Garamond;serif"/>
                <w:caps/>
                <w:color w:val="000000"/>
                <w:sz w:val="16"/>
              </w:rPr>
            </w:pPr>
            <w:r>
              <w:rPr>
                <w:rFonts w:ascii="Garamond;serif" w:hAnsi="Garamond;serif"/>
                <w:caps/>
                <w:color w:val="000000"/>
                <w:sz w:val="16"/>
              </w:rPr>
              <w:t>www.mofo.com</w:t>
            </w:r>
          </w:p>
        </w:tc>
        <w:tc>
          <w:tcPr>
            <w:tcW w:w="5079" w:type="dxa"/>
            <w:tcBorders/>
            <w:tcMar>
              <w:top w:w="0" w:type="dxa"/>
              <w:left w:w="0" w:type="dxa"/>
              <w:bottom w:w="0" w:type="dxa"/>
              <w:right w:w="0" w:type="dxa"/>
            </w:tcMar>
            <w:vAlign w:val="center"/>
          </w:tcPr>
          <w:p>
            <w:pPr>
              <w:pStyle w:val="TableContents"/>
              <w:bidi w:val="0"/>
              <w:jc w:val="left"/>
              <w:rPr>
                <w:rFonts w:ascii="Garamond;serif" w:hAnsi="Garamond;serif"/>
                <w:smallCaps/>
                <w:color w:val="000000"/>
                <w:sz w:val="13"/>
              </w:rPr>
            </w:pPr>
            <w:r>
              <w:rPr>
                <w:rFonts w:ascii="Garamond;serif" w:hAnsi="Garamond;serif"/>
                <w:smallCaps/>
                <w:color w:val="000000"/>
                <w:sz w:val="13"/>
              </w:rPr>
              <w:t>morrison &amp; foerster llp</w:t>
            </w:r>
          </w:p>
          <w:p>
            <w:pPr>
              <w:pStyle w:val="TableContents"/>
              <w:bidi w:val="0"/>
              <w:spacing w:before="120" w:after="283"/>
              <w:jc w:val="left"/>
              <w:rPr>
                <w:rFonts w:ascii="Garamond;serif" w:hAnsi="Garamond;serif"/>
                <w:smallCaps/>
                <w:color w:val="000000"/>
                <w:sz w:val="13"/>
              </w:rPr>
            </w:pPr>
            <w:r>
              <w:rPr>
                <w:rFonts w:ascii="Garamond;serif" w:hAnsi="Garamond;serif"/>
                <w:smallCaps/>
                <w:color w:val="000000"/>
                <w:sz w:val="13"/>
              </w:rPr>
              <w:t>amsterdam, austin, berlin, boston, brussels, denver, hong kong, london, los angeles, miami, new york, palo alto, san diego, san francisco, seattle, shanghai, singapore, tokyo, washington, d.c.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October 1,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Carlsmed, Inc.</w:t>
      </w:r>
    </w:p>
    <w:p>
      <w:pPr>
        <w:pStyle w:val="TextBody"/>
        <w:bidi w:val="0"/>
        <w:jc w:val="left"/>
        <w:rPr>
          <w:rFonts w:ascii="Times New Roman" w:hAnsi="Times New Roman"/>
          <w:color w:val="000000"/>
          <w:sz w:val="20"/>
        </w:rPr>
      </w:pPr>
      <w:r>
        <w:rPr>
          <w:rFonts w:ascii="Times New Roman" w:hAnsi="Times New Roman"/>
          <w:color w:val="000000"/>
          <w:sz w:val="20"/>
        </w:rPr>
        <w:t>1800 Aston Ave., Suite 100</w:t>
      </w:r>
    </w:p>
    <w:p>
      <w:pPr>
        <w:pStyle w:val="TextBody"/>
        <w:bidi w:val="0"/>
        <w:jc w:val="left"/>
        <w:rPr>
          <w:rFonts w:ascii="Times New Roman" w:hAnsi="Times New Roman"/>
          <w:color w:val="000000"/>
          <w:sz w:val="20"/>
        </w:rPr>
      </w:pPr>
      <w:r>
        <w:rPr>
          <w:rFonts w:ascii="Times New Roman" w:hAnsi="Times New Roman"/>
          <w:color w:val="000000"/>
          <w:sz w:val="20"/>
        </w:rPr>
        <w:t>Carlsbad, CA 92008</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Re: </w:t>
      </w:r>
      <w:r>
        <w:rPr>
          <w:rFonts w:ascii="Times New Roman" w:hAnsi="Times New Roman"/>
          <w:color w:val="000000"/>
          <w:sz w:val="20"/>
          <w:u w:val="single"/>
        </w:rPr>
        <w:t>Registration Statement on Form S-8</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spacing w:before="200" w:after="283"/>
        <w:jc w:val="left"/>
        <w:rPr>
          <w:rFonts w:ascii="Times New Roman" w:hAnsi="Times New Roman"/>
          <w:sz w:val="20"/>
        </w:rPr>
      </w:pPr>
      <w:r>
        <w:rPr>
          <w:rFonts w:ascii="Times New Roman" w:hAnsi="Times New Roman"/>
          <w:color w:val="000000"/>
          <w:sz w:val="20"/>
        </w:rPr>
        <w:t>We are acting as counsel to Carlsmed, Inc., a Delaware corporation (the “</w:t>
      </w:r>
      <w:r>
        <w:rPr>
          <w:rFonts w:ascii="Times New Roman" w:hAnsi="Times New Roman"/>
          <w:b/>
          <w:color w:val="000000"/>
          <w:sz w:val="20"/>
        </w:rPr>
        <w:t>Company</w:t>
      </w:r>
      <w:r>
        <w:rPr>
          <w:rFonts w:ascii="Times New Roman" w:hAnsi="Times New Roman"/>
          <w:color w:val="000000"/>
          <w:sz w:val="20"/>
        </w:rPr>
        <w:t>”), in connection with its registration statement on Form S-8 (the “</w:t>
      </w:r>
      <w:r>
        <w:rPr>
          <w:rFonts w:ascii="Times New Roman" w:hAnsi="Times New Roman"/>
          <w:b/>
          <w:color w:val="000000"/>
          <w:sz w:val="20"/>
        </w:rPr>
        <w:t>Registration Statement</w:t>
      </w:r>
      <w:r>
        <w:rPr>
          <w:rFonts w:ascii="Times New Roman" w:hAnsi="Times New Roman"/>
          <w:color w:val="000000"/>
          <w:sz w:val="20"/>
        </w:rPr>
        <w:t>”), filed with the Securities and Exchange Commission under the Securities Act of 1933, as amended (the “</w:t>
      </w:r>
      <w:r>
        <w:rPr>
          <w:rFonts w:ascii="Times New Roman" w:hAnsi="Times New Roman"/>
          <w:b/>
          <w:color w:val="000000"/>
          <w:sz w:val="20"/>
        </w:rPr>
        <w:t>Securities Act</w:t>
      </w:r>
      <w:r>
        <w:rPr>
          <w:rFonts w:ascii="Times New Roman" w:hAnsi="Times New Roman"/>
          <w:color w:val="000000"/>
          <w:sz w:val="20"/>
        </w:rPr>
        <w:t>”), relating to the proposed offering of up to 465,622 shares (the “</w:t>
      </w:r>
      <w:r>
        <w:rPr>
          <w:rFonts w:ascii="Times New Roman" w:hAnsi="Times New Roman"/>
          <w:b/>
          <w:color w:val="000000"/>
          <w:sz w:val="20"/>
        </w:rPr>
        <w:t>Shares</w:t>
      </w:r>
      <w:r>
        <w:rPr>
          <w:rFonts w:ascii="Times New Roman" w:hAnsi="Times New Roman"/>
          <w:color w:val="000000"/>
          <w:sz w:val="20"/>
        </w:rPr>
        <w:t>”) of the Company’s common stock, $0.00001 par value per share, consisting of (a) up to 89,286 Shares that may be issued pursuant to an inducement grant of restricted stock units (“</w:t>
      </w:r>
      <w:r>
        <w:rPr>
          <w:rFonts w:ascii="Times New Roman" w:hAnsi="Times New Roman"/>
          <w:b/>
          <w:color w:val="000000"/>
          <w:sz w:val="20"/>
        </w:rPr>
        <w:t>RSUs</w:t>
      </w:r>
      <w:r>
        <w:rPr>
          <w:rFonts w:ascii="Times New Roman" w:hAnsi="Times New Roman"/>
          <w:color w:val="000000"/>
          <w:sz w:val="20"/>
        </w:rPr>
        <w:t>”) and up to 180,137 Shares that may be issued pursuant to an inducement grant of a stock option granted to Richard Heppenstall outside of any equity incentive plan of the Company, pursuant to an employment inducement grant within the meaning of The Nasdaq Stock Market LLC Listing Rule 5635(c)(4) (collectively, the “</w:t>
      </w:r>
      <w:r>
        <w:rPr>
          <w:rFonts w:ascii="Times New Roman" w:hAnsi="Times New Roman"/>
          <w:b/>
          <w:color w:val="000000"/>
          <w:sz w:val="20"/>
        </w:rPr>
        <w:t>CFO Inducement Grants</w:t>
      </w:r>
      <w:r>
        <w:rPr>
          <w:rFonts w:ascii="Times New Roman" w:hAnsi="Times New Roman"/>
          <w:color w:val="000000"/>
          <w:sz w:val="20"/>
        </w:rPr>
        <w:t>”), and (b) up to 63,735 Shares that may be issued pursuant to an inducement grant of RSUs and up to 132,464 Shares that may be issued pursuant to an inducement grant of a stock option granted to Anthony Jarc outside of any equity incentive plan of the Company, pursuant to an employment inducement grant within the meaning of The Nasdaq Stock Market LLC Listing Rule 5635(c)(4) (together with the CFO Inducement Grants, the “</w:t>
      </w:r>
      <w:r>
        <w:rPr>
          <w:rFonts w:ascii="Times New Roman" w:hAnsi="Times New Roman"/>
          <w:b/>
          <w:color w:val="000000"/>
          <w:sz w:val="20"/>
        </w:rPr>
        <w:t>Inducement Grants</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counsel for the Company, we have examined originals or copies, certified or otherwise identified to our satisfaction, of such documents, corporate records, certificates of public officials and other instruments as we have deemed necessary for the purposes of rendering this opinion, and we are familiar with the proceedings taken and proposed to be taken by the Company in connection with the authorization, issuance and sale of the Shares. In our examination, we have assumed the genuineness of all signatures, the authenticity of all documents submitted to us as originals and the conformity with the originals of all documents submitted to us as copies. This opinion letter is given, and all statements herein are made, in the context of the foregoing.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opinion letter is based as to matters of law solely on the General Corporation Law of the State of Delaware as currently in effect. We express no opinion herein as to any other laws, statutes, ordinances, rules, or regulations.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upon, subject to and limited by the foregoing, we are of the opinion that following (i) effectiveness of the Registration Statement, (ii) issuance of the Shares pursuant to the terms of the award agreements for the Inducement Grants, and (iii) receipt by the Company of the consideration for the Shares specified in the applicable resolutions of the Board of Directors of the Company or a duly authorized committee thereof and the terms of the award agreements for the Inducement Grants, the Shares will be validly issued, fully paid and nonassessable.</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543" w:type="dxa"/>
        <w:jc w:val="left"/>
        <w:tblInd w:w="0" w:type="dxa"/>
        <w:tblLayout w:type="fixed"/>
        <w:tblCellMar>
          <w:top w:w="28" w:type="dxa"/>
          <w:left w:w="28" w:type="dxa"/>
          <w:bottom w:w="28" w:type="dxa"/>
          <w:right w:w="28" w:type="dxa"/>
        </w:tblCellMar>
      </w:tblPr>
      <w:tblGrid>
        <w:gridCol w:w="3206"/>
        <w:gridCol w:w="146"/>
        <w:gridCol w:w="19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06" w:type="dxa"/>
            <w:tcBorders/>
            <w:tcMar>
              <w:top w:w="0" w:type="dxa"/>
              <w:left w:w="0" w:type="dxa"/>
              <w:bottom w:w="0" w:type="dxa"/>
              <w:right w:w="0" w:type="dxa"/>
            </w:tcMar>
            <w:vAlign w:val="center"/>
          </w:tcPr>
          <w:p>
            <w:pPr>
              <w:pStyle w:val="TableContents"/>
              <w:bidi w:val="0"/>
              <w:jc w:val="left"/>
              <w:rPr/>
            </w:pPr>
            <w:r>
              <w:rPr/>
              <w:drawing>
                <wp:inline distT="0" distB="0" distL="0" distR="0">
                  <wp:extent cx="1971675" cy="133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1971675" cy="133350"/>
                          </a:xfrm>
                          <a:prstGeom prst="rect">
                            <a:avLst/>
                          </a:prstGeom>
                        </pic:spPr>
                      </pic:pic>
                    </a:graphicData>
                  </a:graphic>
                </wp:inline>
              </w:drawing>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Carlsmed, Inc.</w:t>
              <w:br/>
              <w:t>October 1, 2026</w:t>
              <w:br/>
              <w:t>Page Two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opinion letter has been prepared for use in connection with the Registration Statement. We assume no obligation to advise you of any changes in the foregoing subsequent to the effective date of the Registration Statement.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consent to the use of this opinion as an exhibit to the Registration Statement, and we consent to the reference of our name wherever appearing in the Registration Statement and any amendments thereto. In giving such consent, we do not thereby admit that we are in the category of persons whose consent is required under Section 7 of the Securities Act.</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truly yours,</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Morrison &amp; Foerster LLP</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Morrison &amp; Foerster LLP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333333"/>
          <w:sz w:val="20"/>
        </w:rPr>
      </w:pPr>
      <w:bookmarkStart w:id="7" w:name="carl-ex23_1.htm"/>
      <w:bookmarkStart w:id="8" w:name="kscarlex23_1"/>
      <w:bookmarkEnd w:id="7"/>
      <w:bookmarkEnd w:id="8"/>
      <w:r>
        <w:rPr>
          <w:rFonts w:ascii="Times New Roman" w:hAnsi="Times New Roman"/>
          <w:b/>
          <w:color w:val="333333"/>
          <w:sz w:val="20"/>
        </w:rPr>
        <w:t>Exhibit 23.1</w:t>
      </w:r>
      <w:r>
        <w:br w:type="page"/>
      </w:r>
    </w:p>
    <w:p>
      <w:pPr>
        <w:pStyle w:val="TextBody"/>
        <w:bidi w:val="0"/>
        <w:jc w:val="left"/>
        <w:rPr/>
      </w:pPr>
      <w:r>
        <w:rPr/>
        <w:t> </w:t>
      </w:r>
    </w:p>
    <w:p>
      <w:pPr>
        <w:pStyle w:val="TextBody"/>
        <w:bidi w:val="0"/>
        <w:jc w:val="center"/>
        <w:rPr>
          <w:rFonts w:ascii="Times New Roman" w:hAnsi="Times New Roman"/>
          <w:b/>
          <w:color w:val="333333"/>
          <w:sz w:val="20"/>
        </w:rPr>
      </w:pPr>
      <w:r>
        <w:rPr>
          <w:rFonts w:ascii="Times New Roman" w:hAnsi="Times New Roman"/>
          <w:b/>
          <w:color w:val="333333"/>
          <w:sz w:val="20"/>
        </w:rPr>
        <w:t>Consent of Independent Registered Public Accounting Firm</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 (Form S-8) pertaining to the Inducement Restricted Stock Unit Agreement for Richard Heppenstall, Inducement Restricted Stock Unit Agreement for Anthony Jarc, Inducement Stock Option Agreement for Richard Heppenstall, and Inducement Stock Option Agreement for Anthony Jarc of Carlsmed, Inc. of our report dated February 25, 2026, with respect to the financial statements of Carlsmed, Inc. included in its Annual Report (Form 10-K) for the year ended December 31, 2025, filed with the Securities and Exchange Commission.</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/s/ Ernst &amp; Young LLP</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San Diego, California</w:t>
      </w:r>
    </w:p>
    <w:p>
      <w:pPr>
        <w:pStyle w:val="TextBody"/>
        <w:bidi w:val="0"/>
        <w:jc w:val="left"/>
        <w:rPr>
          <w:rFonts w:ascii="Times New Roman" w:hAnsi="Times New Roman"/>
          <w:color w:val="333333"/>
          <w:sz w:val="20"/>
        </w:rPr>
      </w:pPr>
      <w:r>
        <w:rPr>
          <w:rFonts w:ascii="Times New Roman" w:hAnsi="Times New Roman"/>
          <w:color w:val="333333"/>
          <w:sz w:val="20"/>
        </w:rPr>
        <w:t>October 1,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 w:name="carl-ex99_3.htm"/>
      <w:bookmarkStart w:id="10" w:name="kscarlex99_3"/>
      <w:bookmarkEnd w:id="9"/>
      <w:bookmarkEnd w:id="10"/>
      <w:r>
        <w:rPr>
          <w:rFonts w:ascii="Times New Roman" w:hAnsi="Times New Roman"/>
          <w:b/>
          <w:color w:val="000000"/>
          <w:sz w:val="20"/>
        </w:rPr>
        <w:t>Exhibit 99.3</w:t>
      </w:r>
      <w:r>
        <w:br w:type="page"/>
      </w:r>
    </w:p>
    <w:p>
      <w:pPr>
        <w:pStyle w:val="TextBody"/>
        <w:bidi w:val="0"/>
        <w:spacing w:before="240" w:after="283"/>
        <w:jc w:val="center"/>
        <w:rPr>
          <w:rFonts w:ascii="Times New Roman" w:hAnsi="Times New Roman"/>
          <w:b/>
          <w:smallCaps/>
          <w:color w:val="000000"/>
          <w:sz w:val="20"/>
        </w:rPr>
      </w:pPr>
      <w:r>
        <w:rPr>
          <w:rFonts w:ascii="Times New Roman" w:hAnsi="Times New Roman"/>
          <w:b/>
          <w:smallCaps/>
          <w:color w:val="000000"/>
          <w:sz w:val="20"/>
        </w:rPr>
        <w:t>Carlsmed, Inc.</w:t>
        <w:br/>
        <w:t>Inducement RSU Award Grant Notice</w:t>
      </w:r>
    </w:p>
    <w:p>
      <w:pPr>
        <w:pStyle w:val="TextBody"/>
        <w:bidi w:val="0"/>
        <w:spacing w:before="240" w:after="283"/>
        <w:jc w:val="both"/>
        <w:rPr>
          <w:rFonts w:ascii="Times New Roman" w:hAnsi="Times New Roman"/>
          <w:sz w:val="20"/>
        </w:rPr>
      </w:pPr>
      <w:r>
        <w:rPr>
          <w:rFonts w:ascii="Times New Roman" w:hAnsi="Times New Roman"/>
          <w:color w:val="000000"/>
          <w:sz w:val="20"/>
        </w:rPr>
        <w:t>Carlsmed, Inc. (the “</w:t>
      </w:r>
      <w:r>
        <w:rPr>
          <w:rFonts w:ascii="Times New Roman" w:hAnsi="Times New Roman"/>
          <w:b/>
          <w:i/>
          <w:color w:val="000000"/>
          <w:sz w:val="20"/>
        </w:rPr>
        <w:t>Company</w:t>
      </w:r>
      <w:r>
        <w:rPr>
          <w:rFonts w:ascii="Times New Roman" w:hAnsi="Times New Roman"/>
          <w:color w:val="000000"/>
          <w:sz w:val="20"/>
        </w:rPr>
        <w:t>”) has awarded to you (the “</w:t>
      </w:r>
      <w:r>
        <w:rPr>
          <w:rFonts w:ascii="Times New Roman" w:hAnsi="Times New Roman"/>
          <w:b/>
          <w:i/>
          <w:color w:val="000000"/>
          <w:sz w:val="20"/>
        </w:rPr>
        <w:t>Participant</w:t>
      </w:r>
      <w:r>
        <w:rPr>
          <w:rFonts w:ascii="Times New Roman" w:hAnsi="Times New Roman"/>
          <w:color w:val="000000"/>
          <w:sz w:val="20"/>
        </w:rPr>
        <w:t>”) the number of restricted stock units (the “</w:t>
      </w:r>
      <w:r>
        <w:rPr>
          <w:rFonts w:ascii="Times New Roman" w:hAnsi="Times New Roman"/>
          <w:b/>
          <w:i/>
          <w:color w:val="000000"/>
          <w:sz w:val="20"/>
        </w:rPr>
        <w:t>RSUs</w:t>
      </w:r>
      <w:r>
        <w:rPr>
          <w:rFonts w:ascii="Times New Roman" w:hAnsi="Times New Roman"/>
          <w:color w:val="000000"/>
          <w:sz w:val="20"/>
        </w:rPr>
        <w:t>”) specified and on the terms set forth below (the “</w:t>
      </w:r>
      <w:r>
        <w:rPr>
          <w:rFonts w:ascii="Times New Roman" w:hAnsi="Times New Roman"/>
          <w:b/>
          <w:i/>
          <w:color w:val="000000"/>
          <w:sz w:val="20"/>
        </w:rPr>
        <w:t>RSU Award</w:t>
      </w:r>
      <w:r>
        <w:rPr>
          <w:rFonts w:ascii="Times New Roman" w:hAnsi="Times New Roman"/>
          <w:color w:val="000000"/>
          <w:sz w:val="20"/>
        </w:rPr>
        <w:t>”). The Company maintains the Carlsmed, Inc. 2025 Equity Incentive Plan (the “</w:t>
      </w:r>
      <w:r>
        <w:rPr>
          <w:rFonts w:ascii="Times New Roman" w:hAnsi="Times New Roman"/>
          <w:b/>
          <w:i/>
          <w:color w:val="000000"/>
          <w:sz w:val="20"/>
        </w:rPr>
        <w:t>Plan</w:t>
      </w:r>
      <w:r>
        <w:rPr>
          <w:rFonts w:ascii="Times New Roman" w:hAnsi="Times New Roman"/>
          <w:color w:val="000000"/>
          <w:sz w:val="20"/>
        </w:rPr>
        <w:t>”), which provides the general terms and conditions for certain equity incentive awards to the Company’s employees, consultants and directors. The RSU Award is not awarded pursuant to or under the Plan, but rather is intended to constitute a non-plan based “inducement grant” as described in Nasdaq Listing Rule 5635(c)(4). Nonetheless, the terms and provisions of the Plan are hereby incorporated into this RSU Award Grant Notice (the “</w:t>
      </w:r>
      <w:r>
        <w:rPr>
          <w:rFonts w:ascii="Times New Roman" w:hAnsi="Times New Roman"/>
          <w:b/>
          <w:i/>
          <w:color w:val="000000"/>
          <w:sz w:val="20"/>
        </w:rPr>
        <w:t>Grant Notice</w:t>
      </w:r>
      <w:r>
        <w:rPr>
          <w:rFonts w:ascii="Times New Roman" w:hAnsi="Times New Roman"/>
          <w:color w:val="000000"/>
          <w:sz w:val="20"/>
        </w:rPr>
        <w:t>”) and related RSU Award Agreement (the “</w:t>
      </w:r>
      <w:r>
        <w:rPr>
          <w:rFonts w:ascii="Times New Roman" w:hAnsi="Times New Roman"/>
          <w:b/>
          <w:i/>
          <w:color w:val="000000"/>
          <w:sz w:val="20"/>
        </w:rPr>
        <w:t>Award Agreement</w:t>
      </w:r>
      <w:r>
        <w:rPr>
          <w:rFonts w:ascii="Times New Roman" w:hAnsi="Times New Roman"/>
          <w:color w:val="000000"/>
          <w:sz w:val="20"/>
        </w:rPr>
        <w:t>”) by this reference, as though fully set forth herein, as if this award was granted pursuant to the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Your RSU Award is subject to all of the terms and conditions set forth in this Grant Notice, the Award Agreement and the Plan, which are attached hereto and incorporated herein in their entirety. The RSU Award is a material inducement for your entry into employment with the Company within the meaning of Rule 5635(c)(4) of the Nasdaq Listing Rules. Accordingly, the RSU Award has been granted outside of the Plan, and the RSUs shall not count toward the shares reserved under the Plan. However, the RSU Award will be governed in all respects as if issued under the Plan. Unless otherwise defined herein, capitalized terms not explicitly defined in this Grant Notice but defined in the Award Agreement or the Plan will have the same definitions as in the Award Agreement or the Plan, as applicable.</w:t>
      </w:r>
    </w:p>
    <w:p>
      <w:pPr>
        <w:pStyle w:val="TextBody"/>
        <w:bidi w:val="0"/>
        <w:jc w:val="both"/>
        <w:rPr/>
      </w:pPr>
      <w:r>
        <w:rPr/>
        <w:t> </w:t>
      </w:r>
    </w:p>
    <w:tbl>
      <w:tblPr>
        <w:tblW w:w="4487" w:type="dxa"/>
        <w:jc w:val="left"/>
        <w:tblInd w:w="0" w:type="dxa"/>
        <w:tblLayout w:type="fixed"/>
        <w:tblCellMar>
          <w:top w:w="28" w:type="dxa"/>
          <w:left w:w="28" w:type="dxa"/>
          <w:bottom w:w="28" w:type="dxa"/>
          <w:right w:w="28" w:type="dxa"/>
        </w:tblCellMar>
      </w:tblPr>
      <w:tblGrid>
        <w:gridCol w:w="2596"/>
        <w:gridCol w:w="1891"/>
      </w:tblGrid>
      <w:tr>
        <w:trPr/>
        <w:tc>
          <w:tcPr>
            <w:tcW w:w="259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Participant:</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Grant:</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Commencement Date:</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RSUs:</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Participant’s Services</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 xml:space="preserve">Vesting Schedule: </w:t>
      </w:r>
      <w:r>
        <w:rPr>
          <w:rFonts w:ascii="Times New Roman" w:hAnsi="Times New Roman"/>
          <w:color w:val="000000"/>
          <w:sz w:val="20"/>
        </w:rPr>
        <w:t>Subject to the Participant’s Continuous Service through each applicable vesting date, the RSU Award will vest as follows: [</w:t>
      </w:r>
      <w:r>
        <w:rPr>
          <w:rFonts w:ascii="Times New Roman" w:hAnsi="Times New Roman"/>
          <w:color w:val="000000"/>
          <w:sz w:val="20"/>
          <w:u w:val="single"/>
        </w:rPr>
        <w:t xml:space="preserve"> </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b/>
          <w:color w:val="000000"/>
          <w:sz w:val="20"/>
        </w:rPr>
        <w:t>Issuance Schedule:</w:t>
      </w:r>
      <w:r>
        <w:rPr>
          <w:rFonts w:ascii="Times New Roman" w:hAnsi="Times New Roman"/>
          <w:color w:val="000000"/>
          <w:sz w:val="20"/>
        </w:rPr>
        <w:t xml:space="preserve"> One share of Common Stock will be issued for each RSU which vests at the time set forth in Section 6 of the Award Agreement.</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Participant Acknowledgements: </w:t>
      </w:r>
      <w:r>
        <w:rPr>
          <w:rFonts w:ascii="Times New Roman" w:hAnsi="Times New Roman"/>
          <w:color w:val="000000"/>
          <w:sz w:val="20"/>
        </w:rPr>
        <w:t>By your signature below or by electronic acceptance or authentication in a form authorized by the Company, you understand and agree that: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RSU Award is governed by this Grant Notice, the Award Agreement and the Plan, all of which are made a part of this document. Unless otherwise provided in the Plan, this Grant Notice and the Award Agreement may not be modified, amended or revised except in a writing signed by you and a duly authorized officer of the Company.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consent to receive this Grant Notice, the Award Agreement, the Plan, the Prospectus and any other RSU Award-related documents by electronic delivery and to receive the RSU Award through an online or electronic system established and maintained by the Company or another third party designated by the Company.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have read and are familiar with the provisions of this Grant Notice, the Award Agreement, the Plan and the Prospectus. In the event of any conflict between the provisions in this Grant Notice, the Award Agreement or the Prospectus and the provisions of the Plan, the provisions of the Plan will control; provided, however, for the avoidance of doubt, the RSU Award is not being granted pursuant to the Plan.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the Date of Grant, this Grant Notice, the Award Agreement and the Plan set forth the entire understanding between you and the Company regarding the Award and supersedes all prior oral and written agreements, promises and/or representations regarding the Award, with the exception of (i) any applicable compensation recovery or clawback policy that is adopted by the Company or is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required by Applicable Law; and (ii) any written employment, offer letter, severance or other agreement, or any written severance plan or policy, in each case that specifies the terms that should govern the Award.</w:t>
      </w:r>
    </w:p>
    <w:p>
      <w:pPr>
        <w:pStyle w:val="TextBody"/>
        <w:bidi w:val="0"/>
        <w:spacing w:before="240" w:after="283"/>
        <w:jc w:val="both"/>
        <w:rPr/>
      </w:pPr>
      <w:r>
        <w:rPr/>
        <w:t> </w:t>
      </w:r>
    </w:p>
    <w:tbl>
      <w:tblPr>
        <w:tblW w:w="3026" w:type="dxa"/>
        <w:jc w:val="left"/>
        <w:tblInd w:w="0" w:type="dxa"/>
        <w:tblLayout w:type="fixed"/>
        <w:tblCellMar>
          <w:top w:w="28" w:type="dxa"/>
          <w:left w:w="28" w:type="dxa"/>
          <w:bottom w:w="28" w:type="dxa"/>
          <w:right w:w="28" w:type="dxa"/>
        </w:tblCellMar>
      </w:tblPr>
      <w:tblGrid>
        <w:gridCol w:w="1178"/>
        <w:gridCol w:w="337"/>
        <w:gridCol w:w="146"/>
        <w:gridCol w:w="976"/>
        <w:gridCol w:w="389"/>
      </w:tblGrid>
      <w:tr>
        <w:trPr/>
        <w:tc>
          <w:tcPr>
            <w:tcW w:w="117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5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Carlsmed,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Participant:</w:t>
            </w:r>
          </w:p>
        </w:tc>
      </w:tr>
      <w:tr>
        <w:trPr/>
        <w:tc>
          <w:tcPr>
            <w:tcW w:w="11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5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w:t>
            </w:r>
          </w:p>
        </w:tc>
      </w:tr>
      <w:tr>
        <w:trPr/>
        <w:tc>
          <w:tcPr>
            <w:tcW w:w="11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1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Attachments: </w:t>
      </w:r>
      <w:r>
        <w:rPr>
          <w:rFonts w:ascii="Times New Roman" w:hAnsi="Times New Roman"/>
          <w:color w:val="000000"/>
          <w:sz w:val="20"/>
        </w:rPr>
        <w:t>Inducement RSU Award Agreement, 2025 Equity Incentive Plan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Attachment I</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Carlsmed, Inc.</w:t>
        <w:br/>
        <w:t>Inducement RSU Award Agreement</w:t>
      </w:r>
    </w:p>
    <w:p>
      <w:pPr>
        <w:pStyle w:val="TextBody"/>
        <w:bidi w:val="0"/>
        <w:jc w:val="both"/>
        <w:rPr>
          <w:rFonts w:ascii="Times New Roman" w:hAnsi="Times New Roman"/>
          <w:sz w:val="20"/>
        </w:rPr>
      </w:pPr>
      <w:r>
        <w:rPr>
          <w:rFonts w:ascii="Times New Roman" w:hAnsi="Times New Roman"/>
          <w:color w:val="000000"/>
          <w:sz w:val="20"/>
        </w:rPr>
        <w:t>As a material inducement to your decision to accept employment with Carlsmed, Inc. (the “</w:t>
      </w:r>
      <w:r>
        <w:rPr>
          <w:rFonts w:ascii="Times New Roman" w:hAnsi="Times New Roman"/>
          <w:b/>
          <w:i/>
          <w:color w:val="000000"/>
          <w:sz w:val="20"/>
        </w:rPr>
        <w:t>Company</w:t>
      </w:r>
      <w:r>
        <w:rPr>
          <w:rFonts w:ascii="Times New Roman" w:hAnsi="Times New Roman"/>
          <w:color w:val="000000"/>
          <w:sz w:val="20"/>
        </w:rPr>
        <w:t>”), the Company hereby grants to you an RSU Award for the number of restricted stock units (the “</w:t>
      </w:r>
      <w:r>
        <w:rPr>
          <w:rFonts w:ascii="Times New Roman" w:hAnsi="Times New Roman"/>
          <w:b/>
          <w:i/>
          <w:color w:val="000000"/>
          <w:sz w:val="20"/>
        </w:rPr>
        <w:t>RSUs</w:t>
      </w:r>
      <w:r>
        <w:rPr>
          <w:rFonts w:ascii="Times New Roman" w:hAnsi="Times New Roman"/>
          <w:color w:val="000000"/>
          <w:sz w:val="20"/>
        </w:rPr>
        <w:t>”) as indicated in your RSU Award Grant Notice (“</w:t>
      </w:r>
      <w:r>
        <w:rPr>
          <w:rFonts w:ascii="Times New Roman" w:hAnsi="Times New Roman"/>
          <w:b/>
          <w:i/>
          <w:color w:val="000000"/>
          <w:sz w:val="20"/>
        </w:rPr>
        <w:t>Grant Notice</w:t>
      </w:r>
      <w:r>
        <w:rPr>
          <w:rFonts w:ascii="Times New Roman" w:hAnsi="Times New Roman"/>
          <w:color w:val="000000"/>
          <w:sz w:val="20"/>
        </w:rPr>
        <w:t>”) and this RSU Award Agreement (the “</w:t>
      </w:r>
      <w:r>
        <w:rPr>
          <w:rFonts w:ascii="Times New Roman" w:hAnsi="Times New Roman"/>
          <w:b/>
          <w:i/>
          <w:color w:val="000000"/>
          <w:sz w:val="20"/>
        </w:rPr>
        <w:t>Award Agreement</w:t>
      </w:r>
      <w:r>
        <w:rPr>
          <w:rFonts w:ascii="Times New Roman" w:hAnsi="Times New Roman"/>
          <w:color w:val="000000"/>
          <w:sz w:val="20"/>
        </w:rPr>
        <w:t>”)(the “</w:t>
      </w:r>
      <w:r>
        <w:rPr>
          <w:rFonts w:ascii="Times New Roman" w:hAnsi="Times New Roman"/>
          <w:b/>
          <w:i/>
          <w:color w:val="000000"/>
          <w:sz w:val="20"/>
        </w:rPr>
        <w:t>RSU Award</w:t>
      </w:r>
      <w:r>
        <w:rPr>
          <w:rFonts w:ascii="Times New Roman" w:hAnsi="Times New Roman"/>
          <w:color w:val="000000"/>
          <w:sz w:val="20"/>
        </w:rPr>
        <w:t>”). This is an inducement grant under Rule 5635(c)(4) of the Nasdaq Listing Rules. Accordingly, the RSU Award has been granted outside the Plan and the RSUs shall not count toward the shares reserved under the Plan. You expressly acknowledge that the terms of Plan shall be incorporated herein by reference and shall constitute part of this Award Agreement. The Company and you further acknowledge and agree that the signatures of the Company and you on the Grant Notice shall constitute acceptance of all of the terms of the Award Agreement and agreement to be bound by the terms of the Award Agreement and the Plan. Capitalized terms not explicitly defined in this Award Agreement but defined in the Grant Notice or the Plan will have the same definitions as in the Grant Notice or Plan,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general terms applicable to your RSU Award are as follows:</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1.</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Governing Plan Document</w:t>
      </w:r>
      <w:r>
        <w:rPr>
          <w:rFonts w:ascii="Times New Roman" w:hAnsi="Times New Roman"/>
          <w:b/>
          <w:color w:val="000000"/>
          <w:sz w:val="20"/>
        </w:rPr>
        <w:t xml:space="preserve">. </w:t>
      </w:r>
      <w:r>
        <w:rPr>
          <w:rFonts w:ascii="Times New Roman" w:hAnsi="Times New Roman"/>
          <w:color w:val="000000"/>
          <w:sz w:val="20"/>
        </w:rPr>
        <w:t>Although your RSU Award is not granted under the Plan, your RSU Award is subject to all the provisions of the Plan, including but not limited to the provisions 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6 of the Plan regarding the impact of a Capitalization Adjustment, dissolution, liquidation, or Change in Control on your RSU Award;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9(e) of the Plan regarding the Company’s retained rights to terminate your Continuous Service notwithstanding the grant of the RSU Award;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8 of the Plan regarding certain tax consequences of your RSU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Your RSU Award is further subject to all interpretations, amendments, rules and regulations, which may from time to time be promulgated and adopted pursuant to the Plan. In the event of any conflict between this Award Agreement and the provisions of the Plan, the provisions of the Plan will control.</w:t>
      </w:r>
    </w:p>
    <w:p>
      <w:pPr>
        <w:pStyle w:val="TextBody"/>
        <w:bidi w:val="0"/>
        <w:spacing w:before="0" w:after="0"/>
        <w:jc w:val="both"/>
        <w:rPr>
          <w:rFonts w:ascii="Times New Roman" w:hAnsi="Times New Roman"/>
          <w:b/>
          <w:smallCaps/>
          <w:color w:val="000000"/>
          <w:sz w:val="20"/>
        </w:rPr>
      </w:pPr>
      <w:r>
        <w:rPr>
          <w:rFonts w:ascii="Times New Roman" w:hAnsi="Times New Roman"/>
          <w:b/>
          <w:smallCaps/>
          <w:color w:val="000000"/>
          <w:sz w:val="20"/>
        </w:rPr>
        <w:t>2.</w:t>
      </w:r>
    </w:p>
    <w:p>
      <w:pPr>
        <w:pStyle w:val="TextBody"/>
        <w:bidi w:val="0"/>
        <w:spacing w:before="0" w:after="0"/>
        <w:jc w:val="both"/>
        <w:rPr>
          <w:rFonts w:ascii="Times New Roman" w:hAnsi="Times New Roman"/>
          <w:sz w:val="20"/>
        </w:rPr>
      </w:pPr>
      <w:r>
        <w:rPr>
          <w:rFonts w:ascii="Times New Roman" w:hAnsi="Times New Roman"/>
          <w:b/>
          <w:smallCaps/>
          <w:color w:val="000000"/>
          <w:sz w:val="20"/>
        </w:rPr>
        <w:t>Grant of the RSU Award</w:t>
      </w:r>
      <w:r>
        <w:rPr>
          <w:rFonts w:ascii="Times New Roman" w:hAnsi="Times New Roman"/>
          <w:b/>
          <w:color w:val="000000"/>
          <w:sz w:val="20"/>
        </w:rPr>
        <w:t xml:space="preserve">. </w:t>
      </w:r>
      <w:r>
        <w:rPr>
          <w:rFonts w:ascii="Times New Roman" w:hAnsi="Times New Roman"/>
          <w:color w:val="000000"/>
          <w:sz w:val="20"/>
        </w:rPr>
        <w:t>This RSU Award represents your right to be issued on a future date the number of shares of Common Stock that is equal to the number of RSUs indicated in the Grant Notice as modified to reflect any Capitalization Adjustment and subject to your satisfaction of the vesting conditions set forth therein. Any additional RSUs that become subject to the RSU Award pursuant to Capitalization Adjustments as set forth in the Plan and the provisions of Section 4 below, if any, will be subject, in a manner determined by the Board, to the same forfeiture restrictions, restrictions on transferability, and time and manner of delivery as applicable to the other RSUs covered by your RSU Award.</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3.</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Vesting</w:t>
      </w:r>
      <w:r>
        <w:rPr>
          <w:rFonts w:ascii="Times New Roman" w:hAnsi="Times New Roman"/>
          <w:b/>
          <w:color w:val="000000"/>
          <w:sz w:val="20"/>
        </w:rPr>
        <w:t xml:space="preserve">. </w:t>
      </w:r>
      <w:r>
        <w:rPr>
          <w:rFonts w:ascii="Times New Roman" w:hAnsi="Times New Roman"/>
          <w:color w:val="000000"/>
          <w:sz w:val="20"/>
        </w:rPr>
        <w:t>Your RSUs will vest, if at all, in accordance with the vesting schedule provided in the Grant Notice, subject to the provisions contained herein and the terms of the Plan. Vesting will cease upon the termination of your Continuous Service.</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4.</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Dividends</w:t>
      </w:r>
      <w:r>
        <w:rPr>
          <w:rFonts w:ascii="Times New Roman" w:hAnsi="Times New Roman"/>
          <w:b/>
          <w:color w:val="000000"/>
          <w:sz w:val="20"/>
        </w:rPr>
        <w:t xml:space="preserve">. </w:t>
      </w:r>
      <w:r>
        <w:rPr>
          <w:rFonts w:ascii="Times New Roman" w:hAnsi="Times New Roman"/>
          <w:color w:val="000000"/>
          <w:sz w:val="20"/>
        </w:rPr>
        <w:t>You may become entitled to receive payments equal to any cash dividends and other distributions paid with respect to a corresponding number of shares of Common Stock to be issued in respect of the RSUs covered by your RSU Award. Any such dividends or distributions will be subject to the same forfeiture restrictions as apply to the RSUs and will be paid at the same time that the corresponding shares are issued in respect of your vested RSUs, provided, however that to the extent any such dividends or distributions are paid in shares of Common Stock, then you will automatically be granted a corresponding number of additional RSUs subject to the RSU Award (the “</w:t>
      </w:r>
      <w:r>
        <w:rPr>
          <w:rFonts w:ascii="Times New Roman" w:hAnsi="Times New Roman"/>
          <w:b/>
          <w:i/>
          <w:color w:val="000000"/>
          <w:sz w:val="20"/>
        </w:rPr>
        <w:t>Dividend Units</w:t>
      </w:r>
      <w:r>
        <w:rPr>
          <w:rFonts w:ascii="Times New Roman" w:hAnsi="Times New Roman"/>
          <w:color w:val="000000"/>
          <w:sz w:val="20"/>
        </w:rPr>
        <w:t>”), and further provided that such Dividend Units will be subject to the same forfeiture restrictions and restrictions on transferability, and same timing requirements for issuance of shares, as apply to the RSUs subject to the RSU Award with respect to which the Dividend Units relate.</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5.</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Withholding Obligations</w:t>
      </w:r>
      <w:r>
        <w:rPr>
          <w:rFonts w:ascii="Times New Roman" w:hAnsi="Times New Roman"/>
          <w:b/>
          <w:color w:val="000000"/>
          <w:sz w:val="20"/>
        </w:rPr>
        <w:t xml:space="preserve">. </w:t>
      </w:r>
      <w:r>
        <w:rPr>
          <w:rFonts w:ascii="Times New Roman" w:hAnsi="Times New Roman"/>
          <w:color w:val="000000"/>
          <w:sz w:val="20"/>
        </w:rPr>
        <w:t>As further provided in Section 8 of the Plan, you hereby authorize withholding from payroll and any other amounts payable to you, and otherwise agree to make adequate provision for, any sums required to satisfy the federal, state, local and non-U.S. tax withholding obligations, if any, which arise in connection with your RSU Award (the “</w:t>
      </w:r>
      <w:r>
        <w:rPr>
          <w:rFonts w:ascii="Times New Roman" w:hAnsi="Times New Roman"/>
          <w:b/>
          <w:i/>
          <w:color w:val="000000"/>
          <w:sz w:val="20"/>
        </w:rPr>
        <w:t>Withholding Obligation</w:t>
      </w:r>
      <w:r>
        <w:rPr>
          <w:rFonts w:ascii="Times New Roman" w:hAnsi="Times New Roman"/>
          <w:color w:val="000000"/>
          <w:sz w:val="20"/>
        </w:rPr>
        <w:t>”) in accordance with the withholding procedures established by the Company. Unless the Withholding Obligation is satisfied, the Company will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6.</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Date of Issuance</w:t>
      </w:r>
      <w:r>
        <w:rPr>
          <w:rFonts w:ascii="Times New Roman" w:hAnsi="Times New Roman"/>
          <w:color w:val="000000"/>
          <w:sz w:val="2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issuance of shares in respect of the RSUs is intended to comply with Treasury Regulations Section 1.409A-1(b)(4) and will be construed and administered in such a manner. Subject to the satisfaction of the Withholding Obligation, if any, in the event one or more RSUs vests, the Company will issue to you one share of Common Stock for each RSU (subject to any adjustment under Section 4 above, and subject to any different provisions in the Grant Notice) that vests on the applicable vesting date(s) or on a later date as determined by the Company but in no event later than the Issuance Deadline (as defined below).</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following provisions will apply to the extent applicable at a vesting date when shares of Common Stock are registered under the Securities Act, unless otherwise determined by the Company. If: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rFonts w:ascii="Times New Roman" w:hAnsi="Times New Roman"/>
          <w:sz w:val="20"/>
        </w:rPr>
      </w:pPr>
      <w:r>
        <w:rPr>
          <w:rFonts w:ascii="Times New Roman" w:hAnsi="Times New Roman"/>
          <w:color w:val="000000"/>
          <w:sz w:val="20"/>
        </w:rPr>
        <w:t>the applicable vest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hAnsi="Times New Roman"/>
          <w:b/>
          <w:i/>
          <w:color w:val="000000"/>
          <w:sz w:val="20"/>
        </w:rPr>
        <w:t>10b5-1 Arrangement</w:t>
      </w:r>
      <w:r>
        <w:rPr>
          <w:rFonts w:ascii="Times New Roman" w:hAnsi="Times New Roman"/>
          <w:color w:val="000000"/>
          <w:sz w:val="20"/>
        </w:rPr>
        <w:t xml:space="preserve">”) or under such other policy expressly approved by the Company), </w:t>
      </w:r>
      <w:r>
        <w:rPr>
          <w:rFonts w:ascii="Times New Roman" w:hAnsi="Times New Roman"/>
          <w:i/>
          <w:color w:val="000000"/>
          <w:sz w:val="20"/>
        </w:rPr>
        <w:t>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either (1) a Withholding Obligation does not apply, or (2) the Company decides, prior to the applicable vest date, (A) not to satisfy the Withholding Obligation by withholding shares of Common Stock from the shares otherwise due to you under this Award, and (B) not to permit you to enter into a “same day sale” commitment with a broker-dealer (including but not limited to a commitment under a 10b5-1 Arrangement) and (C) not to permit you to pay your Withholding Obligation in cash, then the shares that would otherwise be issued to you on the applicable vest date will not be delivered on such applicable vest date and will instead be delivered on the first business day when you are not prohibited from selling shares of Common Stock in the open public market or on such other date determined by the Company, but in no event later than the Issuance Deadline.</w:t>
      </w:r>
    </w:p>
    <w:p>
      <w:pPr>
        <w:pStyle w:val="TextBody"/>
        <w:bidi w:val="0"/>
        <w:spacing w:before="240" w:after="283"/>
        <w:jc w:val="both"/>
        <w:rPr>
          <w:rFonts w:ascii="Times New Roman" w:hAnsi="Times New Roman"/>
          <w:sz w:val="20"/>
        </w:rPr>
      </w:pPr>
      <w:r>
        <w:rPr>
          <w:rFonts w:ascii="Times New Roman" w:hAnsi="Times New Roman"/>
          <w:color w:val="000000"/>
          <w:sz w:val="20"/>
        </w:rPr>
        <w:t>The “</w:t>
      </w:r>
      <w:r>
        <w:rPr>
          <w:rFonts w:ascii="Times New Roman" w:hAnsi="Times New Roman"/>
          <w:b/>
          <w:i/>
          <w:color w:val="000000"/>
          <w:sz w:val="20"/>
        </w:rPr>
        <w:t>Issuance Deadline</w:t>
      </w:r>
      <w:r>
        <w:rPr>
          <w:rFonts w:ascii="Times New Roman" w:hAnsi="Times New Roman"/>
          <w:color w:val="000000"/>
          <w:sz w:val="20"/>
        </w:rPr>
        <w:t>” means (a) December 31 of the calendar year in which the applicable vest date occurs (that is, the last day of your taxable year in which the applicable vest date occurs), or (b) if and only if permitted in a manner that complies with Treasury Regulations Section 1.409A-1(b)(4), no later than the date that is the 15th day of the third calendar month of the applicable year following the year in which the shares of Common Stock issuable as a result of the applicable vest date under this Award are no longer subject to a “substantial risk of forfeiture” within the meaning of Treasury Regulations Section 1.409A-1(d).</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7.</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Lock-Up Period</w:t>
      </w:r>
      <w:r>
        <w:rPr>
          <w:rFonts w:ascii="Times New Roman" w:hAnsi="Times New Roman"/>
          <w:color w:val="000000"/>
          <w:sz w:val="20"/>
        </w:rPr>
        <w:t>. By accepting your RSU Award,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hAnsi="Times New Roman"/>
          <w:b/>
          <w:i/>
          <w:color w:val="000000"/>
          <w:sz w:val="20"/>
        </w:rPr>
        <w:t>Lock-Up Period</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xml:space="preserve">,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8.</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Transferability</w:t>
      </w:r>
      <w:r>
        <w:rPr>
          <w:rFonts w:ascii="Times New Roman" w:hAnsi="Times New Roman"/>
          <w:b/>
          <w:color w:val="000000"/>
          <w:sz w:val="20"/>
        </w:rPr>
        <w:t xml:space="preserve">. </w:t>
      </w:r>
      <w:r>
        <w:rPr>
          <w:rFonts w:ascii="Times New Roman" w:hAnsi="Times New Roman"/>
          <w:color w:val="000000"/>
          <w:sz w:val="20"/>
        </w:rPr>
        <w:t>Except as otherwise provided in the Plan, your RSU Award is not transferable, except by will or by the applicable laws of descent and distribution.</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9.</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Change in Control</w:t>
      </w:r>
      <w:r>
        <w:rPr>
          <w:rFonts w:ascii="Times New Roman" w:hAnsi="Times New Roman"/>
          <w:b/>
          <w:color w:val="000000"/>
          <w:sz w:val="20"/>
        </w:rPr>
        <w:t xml:space="preserve">. </w:t>
      </w:r>
      <w:r>
        <w:rPr>
          <w:rFonts w:ascii="Times New Roman" w:hAnsi="Times New Roman"/>
          <w:color w:val="000000"/>
          <w:sz w:val="20"/>
        </w:rPr>
        <w:t>Your RSU Award is subject to the terms of any agreement governing a Change in Control of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10.</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No Liability for Taxes</w:t>
      </w:r>
      <w:r>
        <w:rPr>
          <w:rFonts w:ascii="Times New Roman" w:hAnsi="Times New Roman"/>
          <w:b/>
          <w:color w:val="000000"/>
          <w:sz w:val="20"/>
        </w:rPr>
        <w:t xml:space="preserve">. </w:t>
      </w:r>
      <w:r>
        <w:rPr>
          <w:rFonts w:ascii="Times New Roman" w:hAnsi="Times New Roman"/>
          <w:color w:val="000000"/>
          <w:sz w:val="20"/>
        </w:rPr>
        <w:t>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11.</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Severability</w:t>
      </w:r>
      <w:r>
        <w:rPr>
          <w:rFonts w:ascii="Times New Roman" w:hAnsi="Times New Roman"/>
          <w:b/>
          <w:color w:val="000000"/>
          <w:sz w:val="20"/>
        </w:rPr>
        <w:t xml:space="preserve">. </w:t>
      </w:r>
      <w:r>
        <w:rPr>
          <w:rFonts w:ascii="Times New Roman" w:hAnsi="Times New Roman"/>
          <w:color w:val="000000"/>
          <w:sz w:val="20"/>
        </w:rPr>
        <w:t>If any part of this Award Agreement or the Plan is declared by any court or governmental authority to be unlawful or invalid, 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240" w:after="283"/>
        <w:jc w:val="both"/>
        <w:rPr>
          <w:rFonts w:ascii="Times New Roman" w:hAnsi="Times New Roman"/>
          <w:b/>
          <w:smallCaps/>
          <w:color w:val="000000"/>
          <w:sz w:val="20"/>
        </w:rPr>
      </w:pPr>
      <w:r>
        <w:rPr>
          <w:rFonts w:ascii="Times New Roman" w:hAnsi="Times New Roman"/>
          <w:b/>
          <w:smallCaps/>
          <w:color w:val="000000"/>
          <w:sz w:val="20"/>
        </w:rPr>
        <w:t>12.</w:t>
      </w:r>
    </w:p>
    <w:p>
      <w:pPr>
        <w:pStyle w:val="TextBody"/>
        <w:bidi w:val="0"/>
        <w:spacing w:before="240" w:after="283"/>
        <w:jc w:val="both"/>
        <w:rPr>
          <w:rFonts w:ascii="Times New Roman" w:hAnsi="Times New Roman"/>
          <w:sz w:val="20"/>
        </w:rPr>
      </w:pPr>
      <w:r>
        <w:rPr>
          <w:rFonts w:ascii="Times New Roman" w:hAnsi="Times New Roman"/>
          <w:b/>
          <w:smallCaps/>
          <w:color w:val="000000"/>
          <w:sz w:val="20"/>
        </w:rPr>
        <w:t>Other Documents</w:t>
      </w:r>
      <w:r>
        <w:rPr>
          <w:rFonts w:ascii="Times New Roman" w:hAnsi="Times New Roman"/>
          <w:b/>
          <w:color w:val="000000"/>
          <w:sz w:val="20"/>
        </w:rPr>
        <w:t xml:space="preserve">. </w:t>
      </w:r>
      <w:r>
        <w:rPr>
          <w:rFonts w:ascii="Times New Roman" w:hAnsi="Times New Roman"/>
          <w:color w:val="000000"/>
          <w:sz w:val="20"/>
        </w:rPr>
        <w:t>You hereby acknowledge receipt of or the right to receive a document providing the information required by Rule 428(b)(1) promulgated under the Securities Act, which includes the Prospectus. In addition, you acknowledge receipt of the Company’s Insider Trading Policy.</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Attachment II</w:t>
      </w:r>
    </w:p>
    <w:p>
      <w:pPr>
        <w:pStyle w:val="TextBody"/>
        <w:bidi w:val="0"/>
        <w:spacing w:before="240" w:after="283"/>
        <w:jc w:val="center"/>
        <w:rPr>
          <w:rFonts w:ascii="Times New Roman" w:hAnsi="Times New Roman"/>
          <w:b/>
          <w:smallCaps/>
          <w:color w:val="000000"/>
          <w:sz w:val="20"/>
        </w:rPr>
      </w:pPr>
      <w:r>
        <w:rPr>
          <w:rFonts w:ascii="Times New Roman" w:hAnsi="Times New Roman"/>
          <w:b/>
          <w:smallCaps/>
          <w:color w:val="000000"/>
          <w:sz w:val="20"/>
        </w:rPr>
        <w:t>2025 Equity Incentive Plan</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bookmarkStart w:id="11" w:name="carl-ex99_4.htm"/>
      <w:bookmarkStart w:id="12" w:name="kscarlex99_4"/>
      <w:bookmarkEnd w:id="11"/>
      <w:bookmarkEnd w:id="1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99.4</w:t>
      </w:r>
    </w:p>
    <w:p>
      <w:pPr>
        <w:pStyle w:val="TextBody"/>
        <w:bidi w:val="0"/>
        <w:jc w:val="center"/>
        <w:rPr>
          <w:rFonts w:ascii="Times New Roman" w:hAnsi="Times New Roman"/>
          <w:sz w:val="20"/>
        </w:rPr>
      </w:pPr>
      <w:r>
        <w:rPr>
          <w:rFonts w:ascii="Times New Roman" w:hAnsi="Times New Roman"/>
          <w:b/>
          <w:smallCaps/>
          <w:color w:val="000000"/>
          <w:sz w:val="20"/>
        </w:rPr>
        <w:t>Carlsmed, Inc.</w:t>
      </w:r>
      <w:r>
        <w:rPr>
          <w:rFonts w:ascii="Times New Roman" w:hAnsi="Times New Roman"/>
          <w:smallCaps/>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smallCaps/>
          <w:color w:val="000000"/>
          <w:sz w:val="20"/>
        </w:rPr>
        <w:t>Inducement Stock Option Grant Notice</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Carlsmed, Inc. (the “</w:t>
      </w:r>
      <w:r>
        <w:rPr>
          <w:rFonts w:ascii="Times New Roman" w:hAnsi="Times New Roman"/>
          <w:b/>
          <w:i/>
          <w:color w:val="000000"/>
          <w:sz w:val="20"/>
        </w:rPr>
        <w:t>Company</w:t>
      </w:r>
      <w:r>
        <w:rPr>
          <w:rFonts w:ascii="Times New Roman" w:hAnsi="Times New Roman"/>
          <w:color w:val="000000"/>
          <w:sz w:val="20"/>
        </w:rPr>
        <w:t>”) hereby grants to you (“</w:t>
      </w:r>
      <w:r>
        <w:rPr>
          <w:rFonts w:ascii="Times New Roman" w:hAnsi="Times New Roman"/>
          <w:b/>
          <w:i/>
          <w:color w:val="000000"/>
          <w:sz w:val="20"/>
        </w:rPr>
        <w:t>Optionholder</w:t>
      </w:r>
      <w:r>
        <w:rPr>
          <w:rFonts w:ascii="Times New Roman" w:hAnsi="Times New Roman"/>
          <w:color w:val="000000"/>
          <w:sz w:val="20"/>
        </w:rPr>
        <w:t>”</w:t>
      </w:r>
      <w:r>
        <w:rPr>
          <w:rFonts w:ascii="Times New Roman" w:hAnsi="Times New Roman"/>
          <w:b/>
          <w:i/>
          <w:color w:val="000000"/>
          <w:sz w:val="20"/>
        </w:rPr>
        <w:t xml:space="preserve">) </w:t>
      </w:r>
      <w:r>
        <w:rPr>
          <w:rFonts w:ascii="Times New Roman" w:hAnsi="Times New Roman"/>
          <w:color w:val="000000"/>
          <w:sz w:val="20"/>
        </w:rPr>
        <w:t>an option to purchase the number of shares of the Common Stock set forth below (the “</w:t>
      </w:r>
      <w:r>
        <w:rPr>
          <w:rFonts w:ascii="Times New Roman" w:hAnsi="Times New Roman"/>
          <w:b/>
          <w:i/>
          <w:color w:val="000000"/>
          <w:sz w:val="20"/>
        </w:rPr>
        <w:t>Option</w:t>
      </w:r>
      <w:r>
        <w:rPr>
          <w:rFonts w:ascii="Times New Roman" w:hAnsi="Times New Roman"/>
          <w:color w:val="000000"/>
          <w:sz w:val="20"/>
        </w:rPr>
        <w:t>”). The Company maintains the Carlsmed, Inc. 2025 Equity Incentive Plan (the “</w:t>
      </w:r>
      <w:r>
        <w:rPr>
          <w:rFonts w:ascii="Times New Roman" w:hAnsi="Times New Roman"/>
          <w:b/>
          <w:i/>
          <w:color w:val="000000"/>
          <w:sz w:val="20"/>
        </w:rPr>
        <w:t>Plan</w:t>
      </w:r>
      <w:r>
        <w:rPr>
          <w:rFonts w:ascii="Times New Roman" w:hAnsi="Times New Roman"/>
          <w:color w:val="000000"/>
          <w:sz w:val="20"/>
        </w:rPr>
        <w:t>”), which provides the general terms and conditions for certain equity incentive awards to the Company’s employees, consultants and directors. The Option is not awarded pursuant to or under the Plan, but rather is intended to constitute a non-plan based “inducement grant” as described in Nasdaq Listing Rule 5635(c)(4). Nonetheless, the terms and provisions of the Plan are hereby incorporated into this Stock Option Grant Notice (the “</w:t>
      </w:r>
      <w:r>
        <w:rPr>
          <w:rFonts w:ascii="Times New Roman" w:hAnsi="Times New Roman"/>
          <w:b/>
          <w:i/>
          <w:color w:val="000000"/>
          <w:sz w:val="20"/>
        </w:rPr>
        <w:t>Grant Notice</w:t>
      </w:r>
      <w:r>
        <w:rPr>
          <w:rFonts w:ascii="Times New Roman" w:hAnsi="Times New Roman"/>
          <w:color w:val="000000"/>
          <w:sz w:val="20"/>
        </w:rPr>
        <w:t>”) and related Stock Option Agreement (the “</w:t>
      </w:r>
      <w:r>
        <w:rPr>
          <w:rFonts w:ascii="Times New Roman" w:hAnsi="Times New Roman"/>
          <w:b/>
          <w:i/>
          <w:color w:val="000000"/>
          <w:sz w:val="20"/>
        </w:rPr>
        <w:t>Option Agreement</w:t>
      </w:r>
      <w:r>
        <w:rPr>
          <w:rFonts w:ascii="Times New Roman" w:hAnsi="Times New Roman"/>
          <w:color w:val="000000"/>
          <w:sz w:val="20"/>
        </w:rPr>
        <w:t>”) by this reference, as though fully set forth herein, as if this award was granted pursuant to the Plan.</w:t>
      </w:r>
    </w:p>
    <w:p>
      <w:pPr>
        <w:pStyle w:val="TextBody"/>
        <w:bidi w:val="0"/>
        <w:jc w:val="both"/>
        <w:rPr>
          <w:rFonts w:ascii="Times New Roman" w:hAnsi="Times New Roman"/>
          <w:color w:val="000000"/>
          <w:sz w:val="20"/>
        </w:rPr>
      </w:pPr>
      <w:r>
        <w:rPr>
          <w:rFonts w:ascii="Times New Roman" w:hAnsi="Times New Roman"/>
          <w:color w:val="000000"/>
          <w:sz w:val="20"/>
        </w:rPr>
        <w:t>Your Option is subject to all of the terms and conditions set forth in this Grant Notice, the Option Agreement, the Notice of Exercise and the Plan, all of which are attached hereto and incorporated herein in their entirety. The Option is a material inducement for your entry into employment with the Company within the meaning of Rule 5635(c)(4) of the Nasdaq Listing Rules. Accordingly, the Option has been granted outside of the Plan, and the Option shall not count toward the shares reserved under the Plan. However, the Option will be governed in all respects as if issued under the Plan. Unless otherwise defined herein, capitalized terms not explicitly defined in this Grant Notice but defined in the Option Agreement or the Plan will have the same definitions as in the Option Agreement or the Plan, as applicable.</w:t>
      </w:r>
    </w:p>
    <w:p>
      <w:pPr>
        <w:pStyle w:val="TextBody"/>
        <w:bidi w:val="0"/>
        <w:jc w:val="left"/>
        <w:rPr/>
      </w:pPr>
      <w:r>
        <w:rPr/>
        <w:t> </w:t>
      </w:r>
    </w:p>
    <w:tbl>
      <w:tblPr>
        <w:tblW w:w="4842" w:type="dxa"/>
        <w:jc w:val="left"/>
        <w:tblInd w:w="0" w:type="dxa"/>
        <w:tblLayout w:type="fixed"/>
        <w:tblCellMar>
          <w:top w:w="28" w:type="dxa"/>
          <w:left w:w="28" w:type="dxa"/>
          <w:bottom w:w="28" w:type="dxa"/>
          <w:right w:w="28" w:type="dxa"/>
        </w:tblCellMar>
      </w:tblPr>
      <w:tblGrid>
        <w:gridCol w:w="4651"/>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Optionholder: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Grant: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Commencement Date: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Number of Shares of Common Stock Subject to Option: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Exercise Price: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Expiration Date: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1"/>
        <w:gridCol w:w="7894"/>
      </w:tblGrid>
      <w:tr>
        <w:trPr/>
        <w:tc>
          <w:tcPr>
            <w:tcW w:w="2311" w:type="dxa"/>
            <w:tcBorders/>
            <w:vAlign w:val="center"/>
          </w:tcPr>
          <w:p>
            <w:pPr>
              <w:pStyle w:val="TableContents"/>
              <w:bidi w:val="0"/>
              <w:spacing w:before="0" w:after="283"/>
              <w:jc w:val="left"/>
              <w:rPr>
                <w:sz w:val="4"/>
                <w:szCs w:val="4"/>
              </w:rPr>
            </w:pPr>
            <w:r>
              <w:rPr>
                <w:sz w:val="4"/>
                <w:szCs w:val="4"/>
              </w:rPr>
            </w:r>
          </w:p>
        </w:tc>
        <w:tc>
          <w:tcPr>
            <w:tcW w:w="7894"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 of Grant:</w:t>
            </w:r>
          </w:p>
        </w:tc>
        <w:tc>
          <w:tcPr>
            <w:tcW w:w="789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Nonstatutory Stock Option</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Exercise and Vesting Schedule:</w:t>
            </w:r>
          </w:p>
        </w:tc>
        <w:tc>
          <w:tcPr>
            <w:tcW w:w="789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Subject to the Optionholder’s Continuous Service through each applicable vesting date, the Option will vest as follows:</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_______]</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 xml:space="preserve">Optionholder Acknowledgements: </w:t>
      </w:r>
      <w:r>
        <w:rPr>
          <w:rFonts w:ascii="Times New Roman" w:hAnsi="Times New Roman"/>
          <w:color w:val="000000"/>
          <w:sz w:val="20"/>
        </w:rPr>
        <w:t>By your signature below or by electronic acceptance or authentication in a form authorized by the Company, you understand and agree that: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Option is governed by this Grant Notice, the Option Agreement, the Notice of Exercise and the Plan, all of which are made a part of this document. Unless otherwise provided in the Plan, this Grant Notice and the Option Agreement may not be modified, amended or revised except in a writing signed by you and a duly authorized officer of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consent to receive this Grant Notice, the Option Agreement, the Plan, the Prospectus and any other Option-related documents by electronic delivery and to receive the Option through an online or electronic system established and maintained by the Company or another third party designated by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You have read and are familiar with the provisions of this Grant Notice, the Option Agreement, the Notice of Exercise, the Plan and the Prospectus. In the event of any conflict between the provisions in this Grant Notice, the Option Agreement or the Prospectus and the provisions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Plan, the provisions of the Plan will control; provided, however, for the avoidance of doubt, the Option is not being granted pursuant to the Plan.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the Date of Grant, this Grant Notice, the Option Agreement, the Notice of Exercise and the Plan set forth the entire understanding between you and the Company regarding the Option, with the exception of (i) any applicable compensation recovery or clawback policy that is adopted by the Company or is required by Applicable Law; and (ii) any written employment, offer letter, severance or other agreement, or any written severance plan or policy, in each case that specifies the terms that should govern the Option.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pStyle w:val="TextBody"/>
        <w:bidi w:val="0"/>
        <w:jc w:val="left"/>
        <w:rPr/>
      </w:pPr>
      <w:r>
        <w:rPr/>
        <w:t> </w:t>
      </w:r>
    </w:p>
    <w:tbl>
      <w:tblPr>
        <w:tblW w:w="3266" w:type="dxa"/>
        <w:jc w:val="left"/>
        <w:tblInd w:w="0" w:type="dxa"/>
        <w:tblLayout w:type="fixed"/>
        <w:tblCellMar>
          <w:top w:w="28" w:type="dxa"/>
          <w:left w:w="28" w:type="dxa"/>
          <w:bottom w:w="28" w:type="dxa"/>
          <w:right w:w="28" w:type="dxa"/>
        </w:tblCellMar>
      </w:tblPr>
      <w:tblGrid>
        <w:gridCol w:w="594"/>
        <w:gridCol w:w="921"/>
        <w:gridCol w:w="146"/>
        <w:gridCol w:w="556"/>
        <w:gridCol w:w="1049"/>
      </w:tblGrid>
      <w:tr>
        <w:trPr/>
        <w:tc>
          <w:tcPr>
            <w:tcW w:w="59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5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Carlsmed,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Optionholder:</w:t>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9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w:t>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9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0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9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smallCaps/>
          <w:color w:val="000000"/>
          <w:sz w:val="20"/>
        </w:rPr>
        <w:t>Attachments</w:t>
      </w:r>
      <w:r>
        <w:rPr>
          <w:rFonts w:ascii="Times New Roman" w:hAnsi="Times New Roman"/>
          <w:color w:val="000000"/>
          <w:sz w:val="20"/>
        </w:rPr>
        <w:t>: Inducement Stock Option Agreement, 2025 Equity Incentive Plan, Notice of Exercise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smallCaps/>
          <w:color w:val="000000"/>
          <w:sz w:val="20"/>
        </w:rPr>
        <w:t>Attachment I</w:t>
      </w:r>
      <w:r>
        <w:rPr>
          <w:rFonts w:ascii="Times New Roman" w:hAnsi="Times New Roman"/>
          <w:smallCaps/>
          <w:color w:val="000000"/>
          <w:sz w:val="20"/>
        </w:rPr>
        <w:t xml:space="preserve">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Carlsmed, Inc.</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Inducement Stock Option Agreement</w:t>
      </w:r>
    </w:p>
    <w:p>
      <w:pPr>
        <w:pStyle w:val="TextBody"/>
        <w:bidi w:val="0"/>
        <w:spacing w:before="0" w:after="240"/>
        <w:jc w:val="both"/>
        <w:rPr>
          <w:rFonts w:ascii="Times New Roman" w:hAnsi="Times New Roman"/>
          <w:sz w:val="20"/>
        </w:rPr>
      </w:pPr>
      <w:r>
        <w:rPr>
          <w:rFonts w:ascii="Times New Roman" w:hAnsi="Times New Roman"/>
          <w:color w:val="000000"/>
          <w:sz w:val="20"/>
        </w:rPr>
        <w:t>As a material inducement to your decision to accept employment with Carlsmed, Inc. (the “</w:t>
      </w:r>
      <w:r>
        <w:rPr>
          <w:rFonts w:ascii="Times New Roman" w:hAnsi="Times New Roman"/>
          <w:b/>
          <w:i/>
          <w:color w:val="000000"/>
          <w:sz w:val="20"/>
        </w:rPr>
        <w:t>Company</w:t>
      </w:r>
      <w:r>
        <w:rPr>
          <w:rFonts w:ascii="Times New Roman" w:hAnsi="Times New Roman"/>
          <w:color w:val="000000"/>
          <w:sz w:val="20"/>
        </w:rPr>
        <w:t>”), the Company hereby grants to you an option to purchase a number of shares of Common Stock (the “</w:t>
      </w:r>
      <w:r>
        <w:rPr>
          <w:rFonts w:ascii="Times New Roman" w:hAnsi="Times New Roman"/>
          <w:b/>
          <w:i/>
          <w:color w:val="000000"/>
          <w:sz w:val="20"/>
        </w:rPr>
        <w:t>Option</w:t>
      </w:r>
      <w:r>
        <w:rPr>
          <w:rFonts w:ascii="Times New Roman" w:hAnsi="Times New Roman"/>
          <w:color w:val="000000"/>
          <w:sz w:val="20"/>
        </w:rPr>
        <w:t>”) at the exercise price indicated in your Stock Option Grant Notice (the “</w:t>
      </w:r>
      <w:r>
        <w:rPr>
          <w:rFonts w:ascii="Times New Roman" w:hAnsi="Times New Roman"/>
          <w:b/>
          <w:i/>
          <w:color w:val="000000"/>
          <w:sz w:val="20"/>
        </w:rPr>
        <w:t>Grant Notice</w:t>
      </w:r>
      <w:r>
        <w:rPr>
          <w:rFonts w:ascii="Times New Roman" w:hAnsi="Times New Roman"/>
          <w:color w:val="000000"/>
          <w:sz w:val="20"/>
        </w:rPr>
        <w:t>”) and this Stock Option Agreement (the “</w:t>
      </w:r>
      <w:r>
        <w:rPr>
          <w:rFonts w:ascii="Times New Roman" w:hAnsi="Times New Roman"/>
          <w:b/>
          <w:i/>
          <w:color w:val="000000"/>
          <w:sz w:val="20"/>
        </w:rPr>
        <w:t>Option Agreement</w:t>
      </w:r>
      <w:r>
        <w:rPr>
          <w:rFonts w:ascii="Times New Roman" w:hAnsi="Times New Roman"/>
          <w:color w:val="000000"/>
          <w:sz w:val="20"/>
        </w:rPr>
        <w:t>”). This is an inducement grant under Rule 5635(c)(4) of the Nasdaq Listing Rules. Accordingly, the Option has been granted outside the Plan and the Option shall not count toward the shares reserved under the Plan. You expressly acknowledge that the terms of the Plan shall be incorporated herein by reference and shall constitute part of this Option Agreement. The Company and you further acknowledge and agree that the signatures of the Company and you on the Grant Notice shall constitute acceptance of all of the terms of this Option Agreement and agreement to be bound by the terms of the Option Agreement and the Plan. Capitalized terms not explicitly defined in this Option Agreement but defined in the Grant Notice or the Plan will have the same definitions as in the Grant Notice or Plan, as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general terms and conditions applicable to your Option are as follows: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 </w:t>
      </w:r>
      <w:r>
        <w:rPr>
          <w:rFonts w:ascii="Times New Roman" w:hAnsi="Times New Roman"/>
          <w:b/>
          <w:smallCaps/>
          <w:color w:val="000000"/>
          <w:sz w:val="20"/>
        </w:rPr>
        <w:t>Governing Plan Document</w:t>
      </w:r>
      <w:r>
        <w:rPr>
          <w:rFonts w:ascii="Times New Roman" w:hAnsi="Times New Roman"/>
          <w:b/>
          <w:color w:val="000000"/>
          <w:sz w:val="20"/>
        </w:rPr>
        <w:t xml:space="preserve">. </w:t>
      </w:r>
      <w:r>
        <w:rPr>
          <w:rFonts w:ascii="Times New Roman" w:hAnsi="Times New Roman"/>
          <w:color w:val="000000"/>
          <w:sz w:val="20"/>
        </w:rPr>
        <w:t>Although your Option is not granted under the Plan, your Option is subject to all the provisions of the Plan, including but not limited to the provisions in: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Section 6 regarding the impact of a Capitalization Adjustment, dissolution, liquidation, or Change in Control on your Option;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Section 9(e) regarding the Company’s retained rights to terminate your Continuous Service notwithstanding the grant of the Option; and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Section 8 regarding certain tax consequences of your Option.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will control.</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 </w:t>
      </w:r>
      <w:r>
        <w:rPr>
          <w:rFonts w:ascii="Times New Roman" w:hAnsi="Times New Roman"/>
          <w:b/>
          <w:smallCaps/>
          <w:color w:val="000000"/>
          <w:sz w:val="20"/>
        </w:rPr>
        <w:t>Vesting</w:t>
      </w:r>
      <w:r>
        <w:rPr>
          <w:rFonts w:ascii="Times New Roman" w:hAnsi="Times New Roman"/>
          <w:b/>
          <w:color w:val="000000"/>
          <w:sz w:val="20"/>
        </w:rPr>
        <w:t xml:space="preserve">. </w:t>
      </w:r>
      <w:r>
        <w:rPr>
          <w:rFonts w:ascii="Times New Roman" w:hAnsi="Times New Roman"/>
          <w:color w:val="000000"/>
          <w:sz w:val="20"/>
        </w:rPr>
        <w:t>Your Option will vest as provided in your Grant Notice, subject to the provisions contained herein and the terms of the Plan. Vesting will cease upon the termination of your Continuous Service.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3. </w:t>
      </w:r>
      <w:r>
        <w:rPr>
          <w:rFonts w:ascii="Times New Roman" w:hAnsi="Times New Roman"/>
          <w:b/>
          <w:smallCaps/>
          <w:color w:val="000000"/>
          <w:sz w:val="20"/>
        </w:rPr>
        <w:t>Exercise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To the extent permitted by Applicable Law, you may pay your Option exercise price as follows: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 </w:t>
      </w:r>
      <w:r>
        <w:rPr>
          <w:rFonts w:ascii="Times New Roman" w:hAnsi="Times New Roman"/>
          <w:color w:val="000000"/>
          <w:sz w:val="20"/>
        </w:rPr>
        <w:t>cash, check, bank draft or money order;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(ii) </w:t>
      </w:r>
      <w:r>
        <w:rPr>
          <w:rFonts w:ascii="Times New Roman" w:hAnsi="Times New Roman"/>
          <w:color w:val="000000"/>
          <w:sz w:val="20"/>
        </w:rPr>
        <w:t>subject to Company and/or Committee consent at the time of exercise, pursuant to a “cashless exercise” program as further described in Section 4(c)(ii) of the Plan if at the time of exercise the Common Stock is publicly traded;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(iii) </w:t>
      </w:r>
      <w:r>
        <w:rPr>
          <w:rFonts w:ascii="Times New Roman" w:hAnsi="Times New Roman"/>
          <w:color w:val="000000"/>
          <w:sz w:val="20"/>
        </w:rPr>
        <w:t>subject to Company and/or Committee consent at the time of exercise, by delivery of previously owned shares of Common Stock as further described in Section 4(c)(iii) of the Plan; or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(iv) </w:t>
      </w:r>
      <w:r>
        <w:rPr>
          <w:rFonts w:ascii="Times New Roman" w:hAnsi="Times New Roman"/>
          <w:color w:val="000000"/>
          <w:sz w:val="20"/>
        </w:rPr>
        <w:t>subject to Company and/or Committee consent at the time of exercise, if the Option is a Nonstatutory Stock Option, by a “net exercise” arrangement as further described in Section 4(c)(iv) of the Plan.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hAnsi="Times New Roman"/>
          <w:b/>
          <w:i/>
          <w:color w:val="000000"/>
          <w:sz w:val="20"/>
        </w:rPr>
        <w:t>Lock-Up Period</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that nothing contained in this Section 3(c)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3(c). The underwriters of the Company’s stock are intended third party beneficiaries of this Section 3(c) and will have the right, power and authority to enforce the provisions hereof as though they were a party hereto.</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4. </w:t>
      </w:r>
      <w:r>
        <w:rPr>
          <w:rFonts w:ascii="Times New Roman" w:hAnsi="Times New Roman"/>
          <w:b/>
          <w:smallCaps/>
          <w:color w:val="000000"/>
          <w:sz w:val="20"/>
        </w:rPr>
        <w:t>Term</w:t>
      </w:r>
      <w:r>
        <w:rPr>
          <w:rFonts w:ascii="Times New Roman" w:hAnsi="Times New Roman"/>
          <w:b/>
          <w:color w:val="000000"/>
          <w:sz w:val="20"/>
        </w:rPr>
        <w:t xml:space="preserve">. </w:t>
      </w:r>
      <w:r>
        <w:rPr>
          <w:rFonts w:ascii="Times New Roman" w:hAnsi="Times New Roman"/>
          <w:color w:val="000000"/>
          <w:sz w:val="20"/>
        </w:rPr>
        <w:t>You may not exercise your Option before the commencement of its term or after its term expires. The term of your Option commences on the Date of Grant and expires upon the earliest of the following:</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immediately upon the termination of your Continuous Service for Cause;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three months after the termination of your Continuous Service for any reason other than Cause, Disability or death;</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12 months after the termination of your Continuous Service due to your Disability;</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12 months after your death if you die during your Continuous Service;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(e) </w:t>
      </w:r>
      <w:r>
        <w:rPr>
          <w:rFonts w:ascii="Times New Roman" w:hAnsi="Times New Roman"/>
          <w:color w:val="000000"/>
          <w:sz w:val="20"/>
        </w:rPr>
        <w:t xml:space="preserve">immediately upon a Change in Control if the Board has determined that the Option will terminate in connection with a Change in Control;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(f) </w:t>
      </w:r>
      <w:r>
        <w:rPr>
          <w:rFonts w:ascii="Times New Roman" w:hAnsi="Times New Roman"/>
          <w:color w:val="000000"/>
          <w:sz w:val="20"/>
        </w:rPr>
        <w:t>the Expiration Date indicated in your Grant Notice; or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(g) </w:t>
      </w:r>
      <w:r>
        <w:rPr>
          <w:rFonts w:ascii="Times New Roman" w:hAnsi="Times New Roman"/>
          <w:color w:val="000000"/>
          <w:sz w:val="20"/>
        </w:rPr>
        <w:t>the day before the 10th anniversary of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Notwithstanding the foregoing, if you die during the period provided in Section 4(b) or 4(c) above, the term of your Option will not expire until the earlier of (i) 12 months after your death, (ii) upon any termination of the Option in connection with a Change in Control, (iii) the Expiration Date indicated in your Grant Notice, or (iv) the day before the tenth anniversary of the Date of Grant. Additionally, the Post-Termination Exercise Period of your Option may be extended as provided in Section 4(i)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obtain the federal income tax advantages associated with an Incentive Stock Option, the Code requires that at all times beginning on the date of grant of your Option and ending on the day three months before the date of your Option’s exercise, you must be an Employee,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 </w:t>
      </w:r>
      <w:r>
        <w:rPr>
          <w:rFonts w:ascii="Times New Roman" w:hAnsi="Times New Roman"/>
          <w:b/>
          <w:smallCaps/>
          <w:color w:val="000000"/>
          <w:sz w:val="20"/>
        </w:rPr>
        <w:t>Withholding Obligations</w:t>
      </w:r>
      <w:r>
        <w:rPr>
          <w:rFonts w:ascii="Times New Roman" w:hAnsi="Times New Roman"/>
          <w:b/>
          <w:color w:val="000000"/>
          <w:sz w:val="20"/>
        </w:rPr>
        <w:t xml:space="preserve">. </w:t>
      </w:r>
      <w:r>
        <w:rPr>
          <w:rFonts w:ascii="Times New Roman" w:hAnsi="Times New Roman"/>
          <w:color w:val="000000"/>
          <w:sz w:val="20"/>
        </w:rPr>
        <w:t>As further provided in Section 8 of the Plan: (a) you may not exercise your 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non-U.S. tax withholding obligations, if any, which arise in connection with the exercise of your Option in accordance with the withholding procedures established by the Company. Accordingly, you may not be able to exercise your Option even though the Option is vested, and the Company will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6. </w:t>
      </w:r>
      <w:r>
        <w:rPr>
          <w:rFonts w:ascii="Times New Roman" w:hAnsi="Times New Roman"/>
          <w:b/>
          <w:smallCaps/>
          <w:color w:val="000000"/>
          <w:sz w:val="20"/>
        </w:rPr>
        <w:t>Incentive Stock Option Disposition Requirement</w:t>
      </w:r>
      <w:r>
        <w:rPr>
          <w:rFonts w:ascii="Times New Roman" w:hAnsi="Times New Roman"/>
          <w:b/>
          <w:color w:val="000000"/>
          <w:sz w:val="20"/>
        </w:rPr>
        <w:t xml:space="preserve">. </w:t>
      </w:r>
      <w:r>
        <w:rPr>
          <w:rFonts w:ascii="Times New Roman" w:hAnsi="Times New Roman"/>
          <w:color w:val="000000"/>
          <w:sz w:val="20"/>
        </w:rPr>
        <w:t>If your Option is an Incentive Stock Option, you must notify 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7. </w:t>
      </w:r>
      <w:r>
        <w:rPr>
          <w:rFonts w:ascii="Times New Roman" w:hAnsi="Times New Roman"/>
          <w:b/>
          <w:smallCaps/>
          <w:color w:val="000000"/>
          <w:sz w:val="20"/>
        </w:rPr>
        <w:t>Transferability</w:t>
      </w:r>
      <w:r>
        <w:rPr>
          <w:rFonts w:ascii="Times New Roman" w:hAnsi="Times New Roman"/>
          <w:b/>
          <w:color w:val="000000"/>
          <w:sz w:val="20"/>
        </w:rPr>
        <w:t xml:space="preserve">. </w:t>
      </w:r>
      <w:r>
        <w:rPr>
          <w:rFonts w:ascii="Times New Roman" w:hAnsi="Times New Roman"/>
          <w:color w:val="000000"/>
          <w:sz w:val="20"/>
        </w:rPr>
        <w:t>Except as otherwise provided in Section 4(e) of the Plan, your Option is not transferable, except by will or by the applicable laws of descent and distribution, and is exercisable during your life only by you.</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8. </w:t>
      </w:r>
      <w:r>
        <w:rPr>
          <w:rFonts w:ascii="Times New Roman" w:hAnsi="Times New Roman"/>
          <w:b/>
          <w:smallCaps/>
          <w:color w:val="000000"/>
          <w:sz w:val="20"/>
        </w:rPr>
        <w:t>Change in Control</w:t>
      </w:r>
      <w:r>
        <w:rPr>
          <w:rFonts w:ascii="Times New Roman" w:hAnsi="Times New Roman"/>
          <w:b/>
          <w:color w:val="000000"/>
          <w:sz w:val="20"/>
        </w:rPr>
        <w:t xml:space="preserve">. </w:t>
      </w:r>
      <w:r>
        <w:rPr>
          <w:rFonts w:ascii="Times New Roman" w:hAnsi="Times New Roman"/>
          <w:color w:val="000000"/>
          <w:sz w:val="20"/>
        </w:rPr>
        <w:t>Your Option is subject to the terms of any agreement governing a Change in Control of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9. </w:t>
      </w:r>
      <w:r>
        <w:rPr>
          <w:rFonts w:ascii="Times New Roman" w:hAnsi="Times New Roman"/>
          <w:b/>
          <w:smallCaps/>
          <w:color w:val="000000"/>
          <w:sz w:val="20"/>
        </w:rPr>
        <w:t>No Liability for Taxes</w:t>
      </w:r>
      <w:r>
        <w:rPr>
          <w:rFonts w:ascii="Times New Roman" w:hAnsi="Times New Roman"/>
          <w:b/>
          <w:color w:val="000000"/>
          <w:sz w:val="20"/>
        </w:rPr>
        <w:t xml:space="preserve">. </w:t>
      </w:r>
      <w:r>
        <w:rPr>
          <w:rFonts w:ascii="Times New Roman" w:hAnsi="Times New Roman"/>
          <w:color w:val="000000"/>
          <w:sz w:val="20"/>
        </w:rPr>
        <w:t>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to make any claim against the Company, or any of its Officers, Directors, Employees or Affiliates in the event that the Internal Revenue Service asserts that such exercise price is less than the “fair market value” of the Common Stock on the date of grant as subsequently determined by the Internal Revenue Service.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10. </w:t>
      </w:r>
      <w:r>
        <w:rPr>
          <w:rFonts w:ascii="Times New Roman" w:hAnsi="Times New Roman"/>
          <w:b/>
          <w:smallCaps/>
          <w:color w:val="000000"/>
          <w:sz w:val="20"/>
        </w:rPr>
        <w:t>Severability</w:t>
      </w:r>
      <w:r>
        <w:rPr>
          <w:rFonts w:ascii="Times New Roman" w:hAnsi="Times New Roman"/>
          <w:b/>
          <w:color w:val="000000"/>
          <w:sz w:val="20"/>
        </w:rPr>
        <w:t xml:space="preserve">. </w:t>
      </w:r>
      <w:r>
        <w:rPr>
          <w:rFonts w:ascii="Times New Roman" w:hAnsi="Times New Roman"/>
          <w:color w:val="000000"/>
          <w:sz w:val="20"/>
        </w:rPr>
        <w:t>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11. </w:t>
      </w:r>
      <w:r>
        <w:rPr>
          <w:rFonts w:ascii="Times New Roman" w:hAnsi="Times New Roman"/>
          <w:b/>
          <w:smallCaps/>
          <w:color w:val="000000"/>
          <w:sz w:val="20"/>
        </w:rPr>
        <w:t>Other Documents</w:t>
      </w:r>
      <w:r>
        <w:rPr>
          <w:rFonts w:ascii="Times New Roman" w:hAnsi="Times New Roman"/>
          <w:b/>
          <w:color w:val="000000"/>
          <w:sz w:val="20"/>
        </w:rPr>
        <w:t xml:space="preserve">. </w:t>
      </w:r>
      <w:r>
        <w:rPr>
          <w:rFonts w:ascii="Times New Roman" w:hAnsi="Times New Roman"/>
          <w:color w:val="000000"/>
          <w:sz w:val="20"/>
        </w:rPr>
        <w:t>You hereby acknowledge receipt of or the right to receive a document providing the information required by Rule 428(b)(1) promulgated under the Securities Act, which includes the Prospectus. In addition, you acknowledge receipt of the Company’s Insider Trading Policy.</w:t>
      </w:r>
    </w:p>
    <w:p>
      <w:pPr>
        <w:pStyle w:val="TextBody"/>
        <w:bidi w:val="0"/>
        <w:jc w:val="center"/>
        <w:rPr>
          <w:rFonts w:ascii="Times New Roman" w:hAnsi="Times New Roman"/>
          <w:color w:val="000000"/>
          <w:sz w:val="20"/>
        </w:rPr>
      </w:pPr>
      <w:r>
        <w:rPr>
          <w:rFonts w:ascii="Times New Roman" w:hAnsi="Times New Roman"/>
          <w:color w:val="000000"/>
          <w:sz w:val="20"/>
        </w:rPr>
        <w:t>* * *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Attachment II</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2025 Equity Incentive Plan</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Attachment III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Carlsmed, Inc. Notice of Exercise</w:t>
      </w:r>
    </w:p>
    <w:p>
      <w:pPr>
        <w:pStyle w:val="TextBody"/>
        <w:bidi w:val="0"/>
        <w:jc w:val="left"/>
        <w:rPr/>
      </w:pPr>
      <w:r>
        <w:rPr/>
        <w:t> </w:t>
      </w:r>
    </w:p>
    <w:tbl>
      <w:tblPr>
        <w:tblW w:w="3943" w:type="dxa"/>
        <w:jc w:val="left"/>
        <w:tblInd w:w="0" w:type="dxa"/>
        <w:tblLayout w:type="fixed"/>
        <w:tblCellMar>
          <w:top w:w="28" w:type="dxa"/>
          <w:left w:w="28" w:type="dxa"/>
          <w:bottom w:w="28" w:type="dxa"/>
          <w:right w:w="28" w:type="dxa"/>
        </w:tblCellMar>
      </w:tblPr>
      <w:tblGrid>
        <w:gridCol w:w="2266"/>
        <w:gridCol w:w="148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smallCaps/>
                <w:color w:val="000000"/>
                <w:sz w:val="20"/>
              </w:rPr>
              <w:t>Carlsmed, Inc.</w:t>
            </w:r>
            <w:r>
              <w:rPr>
                <w:rFonts w:ascii="Times New Roman" w:hAnsi="Times New Roman"/>
                <w:smallCaps/>
                <w:color w:val="000000"/>
                <w:sz w:val="20"/>
              </w:rPr>
              <w:t xml:space="preserve"> </w:t>
            </w:r>
          </w:p>
          <w:p>
            <w:pPr>
              <w:pStyle w:val="TableContents"/>
              <w:bidi w:val="0"/>
              <w:jc w:val="left"/>
              <w:rPr>
                <w:rFonts w:ascii="Times New Roman" w:hAnsi="Times New Roman"/>
                <w:color w:val="000000"/>
                <w:sz w:val="20"/>
              </w:rPr>
            </w:pPr>
            <w:r>
              <w:rPr>
                <w:rFonts w:ascii="Times New Roman" w:hAnsi="Times New Roman"/>
                <w:color w:val="000000"/>
                <w:sz w:val="20"/>
              </w:rPr>
              <w:t>1800 Aston Ave Suite 100</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Carlsbad, CA 92008</w:t>
            </w:r>
          </w:p>
        </w:tc>
        <w:tc>
          <w:tcPr>
            <w:tcW w:w="1486"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of Exercise: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This Notice of Exercise (the “</w:t>
      </w:r>
      <w:r>
        <w:rPr>
          <w:rFonts w:ascii="Times New Roman" w:hAnsi="Times New Roman"/>
          <w:b/>
          <w:i/>
          <w:color w:val="000000"/>
          <w:sz w:val="20"/>
        </w:rPr>
        <w:t>Notice of Exercise</w:t>
      </w:r>
      <w:r>
        <w:rPr>
          <w:rFonts w:ascii="Times New Roman" w:hAnsi="Times New Roman"/>
          <w:color w:val="000000"/>
          <w:sz w:val="20"/>
        </w:rPr>
        <w:t>”) constitutes notice to Carlsmed, Inc. (the “</w:t>
      </w:r>
      <w:r>
        <w:rPr>
          <w:rFonts w:ascii="Times New Roman" w:hAnsi="Times New Roman"/>
          <w:b/>
          <w:i/>
          <w:color w:val="000000"/>
          <w:sz w:val="20"/>
        </w:rPr>
        <w:t>Company</w:t>
      </w:r>
      <w:r>
        <w:rPr>
          <w:rFonts w:ascii="Times New Roman" w:hAnsi="Times New Roman"/>
          <w:color w:val="000000"/>
          <w:sz w:val="20"/>
        </w:rPr>
        <w:t>”) that I elect to purchase the below number of shares of Common Stock of the Company (the “</w:t>
      </w:r>
      <w:r>
        <w:rPr>
          <w:rFonts w:ascii="Times New Roman" w:hAnsi="Times New Roman"/>
          <w:b/>
          <w:i/>
          <w:color w:val="000000"/>
          <w:sz w:val="20"/>
        </w:rPr>
        <w:t>Shares</w:t>
      </w:r>
      <w:r>
        <w:rPr>
          <w:rFonts w:ascii="Times New Roman" w:hAnsi="Times New Roman"/>
          <w:color w:val="000000"/>
          <w:sz w:val="20"/>
        </w:rPr>
        <w:t>”) by exercising my Option for the price set forth below. Capitalized terms not explicitly defined in this Notice of Exercise but defined in the Grant Notice, the Option Agreement or the Plan will have the same definitions as in the Grant Notice, the Option Agreement or the Plan, as applicable. Use of certain payment methods is subject to Company and/or Committee consent and certain additional requirements set forth in the Option Agreement and the Plan.</w:t>
      </w:r>
    </w:p>
    <w:p>
      <w:pPr>
        <w:pStyle w:val="TextBody"/>
        <w:bidi w:val="0"/>
        <w:jc w:val="left"/>
        <w:rPr/>
      </w:pPr>
      <w:r>
        <w:rPr/>
        <w:t> </w:t>
      </w:r>
    </w:p>
    <w:tbl>
      <w:tblPr>
        <w:tblW w:w="7442" w:type="dxa"/>
        <w:jc w:val="left"/>
        <w:tblInd w:w="0" w:type="dxa"/>
        <w:tblLayout w:type="fixed"/>
        <w:tblCellMar>
          <w:top w:w="28" w:type="dxa"/>
          <w:left w:w="28" w:type="dxa"/>
          <w:bottom w:w="28" w:type="dxa"/>
          <w:right w:w="28" w:type="dxa"/>
        </w:tblCellMar>
      </w:tblPr>
      <w:tblGrid>
        <w:gridCol w:w="4906"/>
        <w:gridCol w:w="646"/>
        <w:gridCol w:w="449"/>
        <w:gridCol w:w="1441"/>
      </w:tblGrid>
      <w:tr>
        <w:trPr/>
        <w:tc>
          <w:tcPr>
            <w:tcW w:w="490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Type of Option (check one):</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Date of Grant:</w:t>
            </w:r>
          </w:p>
        </w:tc>
        <w:tc>
          <w:tcPr>
            <w:tcW w:w="1095" w:type="dxa"/>
            <w:gridSpan w:val="2"/>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Incentive ☐</w:t>
            </w:r>
          </w:p>
        </w:tc>
        <w:tc>
          <w:tcPr>
            <w:tcW w:w="144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Nonstatutory ☐</w:t>
            </w:r>
          </w:p>
        </w:tc>
      </w:tr>
      <w:tr>
        <w:trPr/>
        <w:tc>
          <w:tcPr>
            <w:tcW w:w="49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Number of Shares as to which Option is exercised:</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Certificates to be issued in name of:</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Total exercise price:</w:t>
            </w:r>
          </w:p>
        </w:tc>
        <w:tc>
          <w:tcPr>
            <w:tcW w:w="6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Cash, check, bank draft or money order delivered herewith:</w:t>
            </w:r>
          </w:p>
        </w:tc>
        <w:tc>
          <w:tcPr>
            <w:tcW w:w="6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Value of _______ Shares delivered herewith:</w:t>
            </w:r>
          </w:p>
        </w:tc>
        <w:tc>
          <w:tcPr>
            <w:tcW w:w="6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Regulation T Program (cashless exercise):</w:t>
            </w:r>
          </w:p>
        </w:tc>
        <w:tc>
          <w:tcPr>
            <w:tcW w:w="6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Value of _______ Shares pursuant to net exercise:</w:t>
            </w:r>
          </w:p>
        </w:tc>
        <w:tc>
          <w:tcPr>
            <w:tcW w:w="6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this exercise, I agree (i) to provide such additional documents as the Company may require pursuant to the terms of the Plan, (ii) to satisfy the tax withholding obligations, if any, relating to the exercise of this Option as set forth in the Option Agreement, and (iii) if this exercise relates to an Incentive Stock Option, to notify the Company in writing within 15 days after the date of any disposition of any of the Shares issued upon exercise of this Option that occurs within two years after the Date of Grant or within one year after such Shares are issued upon exercise of this Option.</w:t>
      </w:r>
    </w:p>
    <w:p>
      <w:pPr>
        <w:pStyle w:val="TextBody"/>
        <w:bidi w:val="0"/>
        <w:spacing w:before="0" w:after="240"/>
        <w:jc w:val="both"/>
        <w:rPr>
          <w:rFonts w:ascii="Times New Roman" w:hAnsi="Times New Roman"/>
          <w:sz w:val="20"/>
        </w:rPr>
      </w:pPr>
      <w:r>
        <w:rPr>
          <w:rFonts w:ascii="Times New Roman" w:hAnsi="Times New Roman"/>
          <w:color w:val="000000"/>
          <w:sz w:val="20"/>
        </w:rPr>
        <w:t>I further agree that I will not sell, dispose of, transfer, make any short sale of, grant any option for the purchase of, or enter into any hedging or similar transaction with the same economic effect as a sale with respect to any Shares or other securities of the Company that I hold, for a period of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hAnsi="Times New Roman"/>
          <w:b/>
          <w:i/>
          <w:color w:val="000000"/>
          <w:sz w:val="20"/>
        </w:rPr>
        <w:t>Lock-Up Period</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that nothing contained in this paragraph will prevent the exercise of a repurchase option, if any, in favor of the Company during the Lock-Up Period. I further agree to execute and deliver such other agreements as may be reasonably requested by the Company or the underwriters that are consistent with the foregoing or that are necessary to give further effect thereto. I further agree that in order to enforce the foregoing covenant, the Company may impose stop-transfer instructions with respect to Shares that I hold until the end of such period. I also agree that any transferee of any Shares (or other securities of the Company) that I hold will be bound by this paragraph. The underwriters of the Company’s stock are intended third party beneficiaries of this paragraph and will have the right, power and authority to enforce the provisions hereof as though they were a party hereto.</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677" w:type="dxa"/>
        <w:jc w:val="left"/>
        <w:tblInd w:w="0" w:type="dxa"/>
        <w:tblLayout w:type="fixed"/>
        <w:tblCellMar>
          <w:top w:w="28" w:type="dxa"/>
          <w:left w:w="28" w:type="dxa"/>
          <w:bottom w:w="28" w:type="dxa"/>
          <w:right w:w="28" w:type="dxa"/>
        </w:tblCellMar>
      </w:tblPr>
      <w:tblGrid>
        <w:gridCol w:w="161"/>
        <w:gridCol w:w="1516"/>
      </w:tblGrid>
      <w:tr>
        <w:trPr/>
        <w:tc>
          <w:tcPr>
            <w:tcW w:w="16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truly yours,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4"/>
        </w:rPr>
      </w:pPr>
      <w:bookmarkStart w:id="13" w:name="carl_exfilingfees.htm"/>
      <w:bookmarkStart w:id="14" w:name="kscarl_exfilingfees"/>
      <w:bookmarkEnd w:id="13"/>
      <w:bookmarkEnd w:id="14"/>
      <w:r>
        <w:rPr>
          <w:rFonts w:ascii="Arial" w:hAnsi="Arial"/>
          <w:b/>
          <w:color w:val="000000"/>
          <w:sz w:val="24"/>
        </w:rPr>
        <w:t>Exhibit 107</w:t>
      </w:r>
      <w:r>
        <w:br w:type="page"/>
      </w:r>
    </w:p>
    <w:p>
      <w:pPr>
        <w:pStyle w:val="TextBody"/>
        <w:bidi w:val="0"/>
        <w:jc w:val="left"/>
        <w:rPr/>
      </w:pPr>
      <w:r>
        <w:rPr/>
        <w:t> </w:t>
      </w:r>
    </w:p>
    <w:p>
      <w:pPr>
        <w:pStyle w:val="TextBody"/>
        <w:bidi w:val="0"/>
        <w:jc w:val="center"/>
        <w:rPr>
          <w:rFonts w:ascii="Arial" w:hAnsi="Arial"/>
          <w:sz w:val="40"/>
        </w:rPr>
      </w:pPr>
      <w:r>
        <w:rPr>
          <w:rFonts w:ascii="Arial" w:hAnsi="Arial"/>
          <w:b/>
          <w:color w:val="000000"/>
          <w:sz w:val="40"/>
        </w:rPr>
        <w:t>Calculation of Filing Fee</w:t>
      </w:r>
      <w:r>
        <w:rPr>
          <w:rFonts w:ascii="Arial" w:hAnsi="Arial"/>
          <w:color w:val="000000"/>
          <w:sz w:val="40"/>
        </w:rPr>
        <w:t xml:space="preserve"> </w:t>
      </w:r>
      <w:r>
        <w:rPr>
          <w:rFonts w:ascii="Arial" w:hAnsi="Arial"/>
          <w:b/>
          <w:color w:val="000000"/>
          <w:sz w:val="40"/>
        </w:rPr>
        <w:t>Tables</w:t>
      </w:r>
      <w:r>
        <w:rPr>
          <w:rFonts w:ascii="Arial" w:hAnsi="Arial"/>
          <w:color w:val="000000"/>
          <w:sz w:val="40"/>
        </w:rPr>
        <w:t xml:space="preserve"> </w:t>
      </w:r>
    </w:p>
    <w:p>
      <w:pPr>
        <w:pStyle w:val="TextBody"/>
        <w:bidi w:val="0"/>
        <w:spacing w:before="480" w:after="283"/>
        <w:jc w:val="center"/>
        <w:rPr>
          <w:rFonts w:ascii="Arial" w:hAnsi="Arial"/>
          <w:b/>
          <w:color w:val="000000"/>
          <w:sz w:val="40"/>
        </w:rPr>
      </w:pPr>
      <w:r>
        <w:rPr>
          <w:rFonts w:ascii="Arial" w:hAnsi="Arial"/>
          <w:b/>
          <w:color w:val="000000"/>
          <w:sz w:val="40"/>
        </w:rPr>
        <w:t>S-8</w:t>
      </w:r>
    </w:p>
    <w:p>
      <w:pPr>
        <w:pStyle w:val="TextBody"/>
        <w:bidi w:val="0"/>
        <w:spacing w:before="480" w:after="283"/>
        <w:jc w:val="center"/>
        <w:rPr>
          <w:rFonts w:ascii="Arial" w:hAnsi="Arial"/>
          <w:sz w:val="40"/>
        </w:rPr>
      </w:pPr>
      <w:r>
        <w:rPr>
          <w:rFonts w:ascii="Arial" w:hAnsi="Arial"/>
          <w:b/>
          <w:color w:val="000000"/>
          <w:sz w:val="40"/>
        </w:rPr>
        <w:t>Carlsmed, Inc.</w:t>
      </w:r>
      <w:r>
        <w:rPr>
          <w:rFonts w:ascii="Arial" w:hAnsi="Arial"/>
          <w:color w:val="000000"/>
          <w:sz w:val="4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sz w:val="24"/>
        </w:rPr>
      </w:pPr>
      <w:r>
        <w:rPr>
          <w:rFonts w:ascii="Arial" w:hAnsi="Arial"/>
          <w:b/>
          <w:color w:val="000000"/>
          <w:sz w:val="24"/>
        </w:rPr>
        <w:t>Table 1: Newly Registered Securities</w:t>
      </w:r>
      <w:r>
        <w:rPr>
          <w:rFonts w:ascii="Arial" w:hAnsi="Arial"/>
          <w:color w:val="000000"/>
          <w:sz w:val="24"/>
        </w:rPr>
        <w:t xml:space="preserve"> </w:t>
      </w:r>
    </w:p>
    <w:p>
      <w:pPr>
        <w:pStyle w:val="TextBody"/>
        <w:bidi w:val="0"/>
        <w:jc w:val="center"/>
        <w:rPr/>
      </w:pPr>
      <w:r>
        <w:rPr/>
        <w:t> </w:t>
      </w:r>
    </w:p>
    <w:tbl>
      <w:tblPr>
        <w:tblW w:w="12506" w:type="dxa"/>
        <w:jc w:val="left"/>
        <w:tblInd w:w="0" w:type="dxa"/>
        <w:tblLayout w:type="fixed"/>
        <w:tblCellMar>
          <w:top w:w="28" w:type="dxa"/>
          <w:left w:w="28" w:type="dxa"/>
          <w:bottom w:w="28" w:type="dxa"/>
          <w:right w:w="28" w:type="dxa"/>
        </w:tblCellMar>
      </w:tblPr>
      <w:tblGrid>
        <w:gridCol w:w="396"/>
        <w:gridCol w:w="1051"/>
        <w:gridCol w:w="1396"/>
        <w:gridCol w:w="1396"/>
        <w:gridCol w:w="175"/>
        <w:gridCol w:w="1176"/>
        <w:gridCol w:w="146"/>
        <w:gridCol w:w="313"/>
        <w:gridCol w:w="918"/>
        <w:gridCol w:w="146"/>
        <w:gridCol w:w="241"/>
        <w:gridCol w:w="1501"/>
        <w:gridCol w:w="146"/>
        <w:gridCol w:w="146"/>
        <w:gridCol w:w="1381"/>
        <w:gridCol w:w="146"/>
        <w:gridCol w:w="334"/>
        <w:gridCol w:w="1167"/>
        <w:gridCol w:w="331"/>
      </w:tblGrid>
      <w:tr>
        <w:trPr/>
        <w:tc>
          <w:tcPr>
            <w:tcW w:w="3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6" w:type="dxa"/>
            <w:tcBorders>
              <w:top w:val="single" w:sz="4" w:space="0" w:color="000000"/>
              <w:left w:val="single" w:sz="4" w:space="0" w:color="000000"/>
              <w:bottom w:val="single" w:sz="4" w:space="0" w:color="FFFFFF"/>
              <w:right w:val="single" w:sz="4" w:space="0" w:color="FFFFFF"/>
            </w:tcBorders>
            <w:shd w:fill="9ADAF6" w:val="clear"/>
            <w:vAlign w:val="center"/>
          </w:tcPr>
          <w:p>
            <w:pPr>
              <w:pStyle w:val="TableContents"/>
              <w:bidi w:val="0"/>
              <w:spacing w:before="0" w:after="283"/>
              <w:jc w:val="center"/>
              <w:rPr/>
            </w:pPr>
            <w:r>
              <w:rPr/>
              <w:t> </w:t>
            </w:r>
          </w:p>
        </w:tc>
        <w:tc>
          <w:tcPr>
            <w:tcW w:w="1051" w:type="dxa"/>
            <w:tcBorders>
              <w:top w:val="single" w:sz="4" w:space="0" w:color="000000"/>
              <w:bottom w:val="single" w:sz="4" w:space="0" w:color="FFFFFF"/>
              <w:right w:val="single" w:sz="4" w:space="0" w:color="FFFFFF"/>
            </w:tcBorders>
            <w:shd w:fill="9ADAF6" w:val="clear"/>
            <w:tcMar>
              <w:lef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Security</w:t>
              <w:br/>
              <w:t>Type</w:t>
            </w:r>
          </w:p>
        </w:tc>
        <w:tc>
          <w:tcPr>
            <w:tcW w:w="1396" w:type="dxa"/>
            <w:tcBorders>
              <w:top w:val="single" w:sz="4" w:space="0" w:color="000000"/>
              <w:bottom w:val="single" w:sz="4" w:space="0" w:color="FFFFFF"/>
              <w:right w:val="single" w:sz="4" w:space="0" w:color="FFFFFF"/>
            </w:tcBorders>
            <w:shd w:fill="9ADAF6" w:val="clear"/>
            <w:tcMar>
              <w:lef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Security Class Title</w:t>
            </w:r>
          </w:p>
        </w:tc>
        <w:tc>
          <w:tcPr>
            <w:tcW w:w="1396" w:type="dxa"/>
            <w:tcBorders>
              <w:top w:val="single" w:sz="4" w:space="0" w:color="000000"/>
              <w:bottom w:val="single" w:sz="4" w:space="0" w:color="FFFFFF"/>
              <w:right w:val="single" w:sz="4" w:space="0" w:color="FFFFFF"/>
            </w:tcBorders>
            <w:shd w:fill="9ADAF6" w:val="clear"/>
            <w:tcMar>
              <w:lef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Fee</w:t>
              <w:br/>
              <w:t>Calculation</w:t>
              <w:br/>
              <w:t>Rule</w:t>
            </w:r>
          </w:p>
        </w:tc>
        <w:tc>
          <w:tcPr>
            <w:tcW w:w="1351" w:type="dxa"/>
            <w:gridSpan w:val="2"/>
            <w:tcBorders>
              <w:top w:val="single" w:sz="4" w:space="0" w:color="000000"/>
              <w:bottom w:val="single" w:sz="4" w:space="0" w:color="FFFFFF"/>
            </w:tcBorders>
            <w:shd w:fill="9ADAF6" w:val="clear"/>
            <w:tcMar>
              <w:left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Amount</w:t>
              <w:br/>
              <w:t>Registered</w:t>
            </w:r>
          </w:p>
        </w:tc>
        <w:tc>
          <w:tcPr>
            <w:tcW w:w="146" w:type="dxa"/>
            <w:tcBorders>
              <w:top w:val="single" w:sz="4" w:space="0" w:color="000000"/>
              <w:bottom w:val="single" w:sz="4" w:space="0" w:color="FFFFFF"/>
              <w:right w:val="single" w:sz="4" w:space="0" w:color="FFFFFF"/>
            </w:tcBorders>
            <w:shd w:fill="9ADAF6" w:val="clear"/>
            <w:tcMar>
              <w:left w:w="0" w:type="dxa"/>
            </w:tcMar>
            <w:vAlign w:val="center"/>
          </w:tcPr>
          <w:p>
            <w:pPr>
              <w:pStyle w:val="TableContents"/>
              <w:bidi w:val="0"/>
              <w:spacing w:before="0" w:after="283"/>
              <w:jc w:val="center"/>
              <w:rPr/>
            </w:pPr>
            <w:r>
              <w:rPr/>
              <w:t> </w:t>
            </w:r>
          </w:p>
        </w:tc>
        <w:tc>
          <w:tcPr>
            <w:tcW w:w="1231" w:type="dxa"/>
            <w:gridSpan w:val="2"/>
            <w:tcBorders>
              <w:top w:val="single" w:sz="4" w:space="0" w:color="000000"/>
              <w:bottom w:val="single" w:sz="4" w:space="0" w:color="FFFFFF"/>
            </w:tcBorders>
            <w:shd w:fill="9ADAF6" w:val="clear"/>
            <w:tcMar>
              <w:left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Proposed</w:t>
              <w:br/>
              <w:t>Maximum</w:t>
              <w:br/>
              <w:t>Offering</w:t>
              <w:br/>
              <w:t>Price Per</w:t>
              <w:br/>
              <w:t>Unit</w:t>
            </w:r>
          </w:p>
        </w:tc>
        <w:tc>
          <w:tcPr>
            <w:tcW w:w="146" w:type="dxa"/>
            <w:tcBorders>
              <w:top w:val="single" w:sz="4" w:space="0" w:color="000000"/>
              <w:bottom w:val="single" w:sz="4" w:space="0" w:color="FFFFFF"/>
              <w:right w:val="single" w:sz="4" w:space="0" w:color="FFFFFF"/>
            </w:tcBorders>
            <w:shd w:fill="9ADAF6" w:val="clear"/>
            <w:tcMar>
              <w:left w:w="0" w:type="dxa"/>
            </w:tcMar>
            <w:vAlign w:val="center"/>
          </w:tcPr>
          <w:p>
            <w:pPr>
              <w:pStyle w:val="TableContents"/>
              <w:bidi w:val="0"/>
              <w:spacing w:before="0" w:after="283"/>
              <w:jc w:val="center"/>
              <w:rPr/>
            </w:pPr>
            <w:r>
              <w:rPr/>
              <w:t> </w:t>
            </w:r>
          </w:p>
        </w:tc>
        <w:tc>
          <w:tcPr>
            <w:tcW w:w="1742" w:type="dxa"/>
            <w:gridSpan w:val="2"/>
            <w:tcBorders>
              <w:top w:val="single" w:sz="4" w:space="0" w:color="000000"/>
              <w:bottom w:val="single" w:sz="4" w:space="0" w:color="FFFFFF"/>
            </w:tcBorders>
            <w:shd w:fill="9ADAF6" w:val="clear"/>
            <w:tcMar>
              <w:left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Maximum</w:t>
              <w:br/>
              <w:t>Aggregate</w:t>
              <w:br/>
              <w:t>Offering</w:t>
              <w:br/>
              <w:t>Price</w:t>
            </w:r>
          </w:p>
        </w:tc>
        <w:tc>
          <w:tcPr>
            <w:tcW w:w="146" w:type="dxa"/>
            <w:tcBorders>
              <w:top w:val="single" w:sz="4" w:space="0" w:color="000000"/>
              <w:bottom w:val="single" w:sz="4" w:space="0" w:color="FFFFFF"/>
              <w:right w:val="single" w:sz="4" w:space="0" w:color="FFFFFF"/>
            </w:tcBorders>
            <w:shd w:fill="9ADAF6" w:val="clear"/>
            <w:tcMar>
              <w:left w:w="0" w:type="dxa"/>
            </w:tcMar>
            <w:vAlign w:val="center"/>
          </w:tcPr>
          <w:p>
            <w:pPr>
              <w:pStyle w:val="TableContents"/>
              <w:bidi w:val="0"/>
              <w:spacing w:before="0" w:after="283"/>
              <w:jc w:val="center"/>
              <w:rPr/>
            </w:pPr>
            <w:r>
              <w:rPr/>
              <w:t> </w:t>
            </w:r>
          </w:p>
        </w:tc>
        <w:tc>
          <w:tcPr>
            <w:tcW w:w="1527" w:type="dxa"/>
            <w:gridSpan w:val="2"/>
            <w:tcBorders>
              <w:top w:val="single" w:sz="4" w:space="0" w:color="000000"/>
              <w:bottom w:val="single" w:sz="4" w:space="0" w:color="FFFFFF"/>
            </w:tcBorders>
            <w:shd w:fill="9ADAF6" w:val="clear"/>
            <w:tcMar>
              <w:left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Fee Rate</w:t>
            </w:r>
          </w:p>
        </w:tc>
        <w:tc>
          <w:tcPr>
            <w:tcW w:w="146" w:type="dxa"/>
            <w:tcBorders>
              <w:top w:val="single" w:sz="4" w:space="0" w:color="000000"/>
              <w:bottom w:val="single" w:sz="4" w:space="0" w:color="FFFFFF"/>
              <w:right w:val="single" w:sz="4" w:space="0" w:color="FFFFFF"/>
            </w:tcBorders>
            <w:shd w:fill="9ADAF6" w:val="clear"/>
            <w:tcMar>
              <w:left w:w="0" w:type="dxa"/>
            </w:tcMar>
            <w:vAlign w:val="center"/>
          </w:tcPr>
          <w:p>
            <w:pPr>
              <w:pStyle w:val="TableContents"/>
              <w:bidi w:val="0"/>
              <w:spacing w:before="0" w:after="283"/>
              <w:jc w:val="center"/>
              <w:rPr/>
            </w:pPr>
            <w:r>
              <w:rPr/>
              <w:t> </w:t>
            </w:r>
          </w:p>
        </w:tc>
        <w:tc>
          <w:tcPr>
            <w:tcW w:w="1501" w:type="dxa"/>
            <w:gridSpan w:val="2"/>
            <w:tcBorders>
              <w:top w:val="single" w:sz="4" w:space="0" w:color="000000"/>
              <w:bottom w:val="single" w:sz="4" w:space="0" w:color="FFFFFF"/>
            </w:tcBorders>
            <w:shd w:fill="9ADAF6" w:val="clear"/>
            <w:tcMar>
              <w:left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Amount of</w:t>
              <w:br/>
              <w:t>Registration</w:t>
              <w:br/>
              <w:t>Fee</w:t>
            </w:r>
          </w:p>
        </w:tc>
        <w:tc>
          <w:tcPr>
            <w:tcW w:w="331" w:type="dxa"/>
            <w:tcBorders>
              <w:top w:val="single" w:sz="4" w:space="0" w:color="000000"/>
              <w:bottom w:val="single" w:sz="4" w:space="0" w:color="FFFFFF"/>
              <w:right w:val="single" w:sz="4" w:space="0" w:color="000000"/>
            </w:tcBorders>
            <w:shd w:fill="9ADAF6" w:val="clear"/>
            <w:tcMar>
              <w:left w:w="0" w:type="dxa"/>
            </w:tcMar>
            <w:vAlign w:val="center"/>
          </w:tcPr>
          <w:p>
            <w:pPr>
              <w:pStyle w:val="TableContents"/>
              <w:bidi w:val="0"/>
              <w:spacing w:before="0" w:after="283"/>
              <w:ind w:left="0" w:right="0" w:firstLine="140"/>
              <w:jc w:val="center"/>
              <w:rPr/>
            </w:pPr>
            <w:r>
              <w:rPr/>
              <w:t> </w:t>
            </w:r>
          </w:p>
        </w:tc>
      </w:tr>
      <w:tr>
        <w:trPr/>
        <w:tc>
          <w:tcPr>
            <w:tcW w:w="396" w:type="dxa"/>
            <w:tcBorders>
              <w:left w:val="single" w:sz="4" w:space="0" w:color="000000"/>
              <w:bottom w:val="single" w:sz="4" w:space="0" w:color="FFFFFF"/>
              <w:right w:val="single" w:sz="4" w:space="0" w:color="FFFFFF"/>
            </w:tcBorders>
            <w:shd w:fill="E7E7E2" w:val="clear"/>
            <w:tcMar>
              <w:top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1</w:t>
            </w:r>
          </w:p>
        </w:tc>
        <w:tc>
          <w:tcPr>
            <w:tcW w:w="1051"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Equity</w:t>
            </w:r>
          </w:p>
        </w:tc>
        <w:tc>
          <w:tcPr>
            <w:tcW w:w="139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Common Stock, par value $0.00001 per share issuable pursuant to Inducement Restricted Stock Unit Agreements</w:t>
            </w:r>
          </w:p>
        </w:tc>
        <w:tc>
          <w:tcPr>
            <w:tcW w:w="139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Other</w:t>
            </w:r>
          </w:p>
        </w:tc>
        <w:tc>
          <w:tcPr>
            <w:tcW w:w="175" w:type="dxa"/>
            <w:tcBorders>
              <w:bottom w:val="single" w:sz="4" w:space="0" w:color="FFFFFF"/>
            </w:tcBorders>
            <w:shd w:fill="E7E7E2"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FFFFFF"/>
            </w:tcBorders>
            <w:shd w:fill="E7E7E2"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153,021</w:t>
            </w:r>
          </w:p>
        </w:tc>
        <w:tc>
          <w:tcPr>
            <w:tcW w:w="14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left"/>
              <w:rPr/>
            </w:pPr>
            <w:r>
              <w:rPr/>
              <w:t> </w:t>
            </w:r>
          </w:p>
        </w:tc>
        <w:tc>
          <w:tcPr>
            <w:tcW w:w="313" w:type="dxa"/>
            <w:tcBorders>
              <w:bottom w:val="single" w:sz="4" w:space="0" w:color="FFFFFF"/>
            </w:tcBorders>
            <w:shd w:fill="E7E7E2"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918" w:type="dxa"/>
            <w:tcBorders>
              <w:bottom w:val="single" w:sz="4" w:space="0" w:color="FFFFFF"/>
            </w:tcBorders>
            <w:shd w:fill="E7E7E2"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13.85</w:t>
            </w:r>
          </w:p>
        </w:tc>
        <w:tc>
          <w:tcPr>
            <w:tcW w:w="14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left"/>
              <w:rPr/>
            </w:pPr>
            <w:r>
              <w:rPr/>
              <w:t> </w:t>
            </w:r>
          </w:p>
        </w:tc>
        <w:tc>
          <w:tcPr>
            <w:tcW w:w="241" w:type="dxa"/>
            <w:tcBorders>
              <w:bottom w:val="single" w:sz="4" w:space="0" w:color="FFFFFF"/>
            </w:tcBorders>
            <w:shd w:fill="E7E7E2"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501" w:type="dxa"/>
            <w:tcBorders>
              <w:bottom w:val="single" w:sz="4" w:space="0" w:color="FFFFFF"/>
            </w:tcBorders>
            <w:shd w:fill="E7E7E2"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2,119,340.85</w:t>
            </w:r>
          </w:p>
        </w:tc>
        <w:tc>
          <w:tcPr>
            <w:tcW w:w="14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E7E7E2"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FFFFFF"/>
            </w:tcBorders>
            <w:shd w:fill="E7E7E2"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0.00008700</w:t>
            </w:r>
          </w:p>
        </w:tc>
        <w:tc>
          <w:tcPr>
            <w:tcW w:w="14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left"/>
              <w:rPr/>
            </w:pPr>
            <w:r>
              <w:rPr/>
              <w:t> </w:t>
            </w:r>
          </w:p>
        </w:tc>
        <w:tc>
          <w:tcPr>
            <w:tcW w:w="334" w:type="dxa"/>
            <w:tcBorders>
              <w:bottom w:val="single" w:sz="4" w:space="0" w:color="FFFFFF"/>
            </w:tcBorders>
            <w:shd w:fill="E7E7E2"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67" w:type="dxa"/>
            <w:tcBorders>
              <w:bottom w:val="single" w:sz="4" w:space="0" w:color="FFFFFF"/>
            </w:tcBorders>
            <w:shd w:fill="E7E7E2"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184.38</w:t>
            </w:r>
          </w:p>
        </w:tc>
        <w:tc>
          <w:tcPr>
            <w:tcW w:w="331" w:type="dxa"/>
            <w:tcBorders>
              <w:bottom w:val="single" w:sz="4" w:space="0" w:color="FFFFFF"/>
              <w:right w:val="single" w:sz="4" w:space="0" w:color="000000"/>
            </w:tcBorders>
            <w:shd w:fill="E7E7E2" w:val="clear"/>
            <w:tcMar>
              <w:top w:w="0" w:type="dxa"/>
              <w:left w:w="0" w:type="dxa"/>
            </w:tcMar>
            <w:vAlign w:val="center"/>
          </w:tcPr>
          <w:p>
            <w:pPr>
              <w:pStyle w:val="TableContents"/>
              <w:bidi w:val="0"/>
              <w:spacing w:before="0" w:after="283"/>
              <w:ind w:left="0" w:right="0" w:firstLine="140"/>
              <w:jc w:val="left"/>
              <w:rPr/>
            </w:pPr>
            <w:r>
              <w:rPr/>
              <w:t> </w:t>
            </w:r>
          </w:p>
        </w:tc>
      </w:tr>
      <w:tr>
        <w:trPr/>
        <w:tc>
          <w:tcPr>
            <w:tcW w:w="396" w:type="dxa"/>
            <w:tcBorders>
              <w:left w:val="single" w:sz="4" w:space="0" w:color="000000"/>
              <w:right w:val="single" w:sz="4" w:space="0" w:color="FFFFFF"/>
            </w:tcBorders>
            <w:shd w:fill="E7E7E2" w:val="clear"/>
            <w:tcMar>
              <w:top w:w="0" w:type="dxa"/>
              <w:bottom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2</w:t>
            </w:r>
          </w:p>
        </w:tc>
        <w:tc>
          <w:tcPr>
            <w:tcW w:w="1051" w:type="dxa"/>
            <w:tcBorders>
              <w:right w:val="single" w:sz="4" w:space="0" w:color="FFFFFF"/>
            </w:tcBorders>
            <w:shd w:fill="E7E7E2" w:val="clear"/>
            <w:tcMar>
              <w:top w:w="0" w:type="dxa"/>
              <w:left w:w="0" w:type="dxa"/>
              <w:bottom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Equity</w:t>
            </w:r>
          </w:p>
        </w:tc>
        <w:tc>
          <w:tcPr>
            <w:tcW w:w="1396" w:type="dxa"/>
            <w:tcBorders>
              <w:right w:val="single" w:sz="4" w:space="0" w:color="FFFFFF"/>
            </w:tcBorders>
            <w:shd w:fill="E7E7E2" w:val="clear"/>
            <w:tcMar>
              <w:top w:w="0" w:type="dxa"/>
              <w:left w:w="0" w:type="dxa"/>
              <w:bottom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Common Stock, par value $0.00001 per share issuable pursuant to Inducement Stock Option Agreements</w:t>
            </w:r>
          </w:p>
        </w:tc>
        <w:tc>
          <w:tcPr>
            <w:tcW w:w="1396" w:type="dxa"/>
            <w:tcBorders>
              <w:right w:val="single" w:sz="4" w:space="0" w:color="FFFFFF"/>
            </w:tcBorders>
            <w:shd w:fill="E7E7E2" w:val="clear"/>
            <w:tcMar>
              <w:top w:w="0" w:type="dxa"/>
              <w:left w:w="0" w:type="dxa"/>
              <w:bottom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Other</w:t>
            </w:r>
          </w:p>
        </w:tc>
        <w:tc>
          <w:tcPr>
            <w:tcW w:w="175" w:type="dxa"/>
            <w:tcBorders/>
            <w:shd w:fill="E7E7E2"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E7E7E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312,601</w:t>
            </w:r>
          </w:p>
        </w:tc>
        <w:tc>
          <w:tcPr>
            <w:tcW w:w="146" w:type="dxa"/>
            <w:tcBorders>
              <w:right w:val="single" w:sz="4" w:space="0" w:color="FFFFFF"/>
            </w:tcBorders>
            <w:shd w:fill="E7E7E2" w:val="clear"/>
            <w:tcMar>
              <w:top w:w="0" w:type="dxa"/>
              <w:left w:w="0" w:type="dxa"/>
              <w:bottom w:w="0" w:type="dxa"/>
            </w:tcMar>
            <w:vAlign w:val="center"/>
          </w:tcPr>
          <w:p>
            <w:pPr>
              <w:pStyle w:val="TableContents"/>
              <w:bidi w:val="0"/>
              <w:spacing w:before="0" w:after="283"/>
              <w:jc w:val="left"/>
              <w:rPr/>
            </w:pPr>
            <w:r>
              <w:rPr/>
              <w:t> </w:t>
            </w:r>
          </w:p>
        </w:tc>
        <w:tc>
          <w:tcPr>
            <w:tcW w:w="313" w:type="dxa"/>
            <w:tcBorders/>
            <w:shd w:fill="E7E7E2"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918" w:type="dxa"/>
            <w:tcBorders/>
            <w:shd w:fill="E7E7E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13.85</w:t>
            </w:r>
          </w:p>
        </w:tc>
        <w:tc>
          <w:tcPr>
            <w:tcW w:w="146" w:type="dxa"/>
            <w:tcBorders>
              <w:right w:val="single" w:sz="4" w:space="0" w:color="FFFFFF"/>
            </w:tcBorders>
            <w:shd w:fill="E7E7E2" w:val="clear"/>
            <w:tcMar>
              <w:top w:w="0" w:type="dxa"/>
              <w:left w:w="0" w:type="dxa"/>
              <w:bottom w:w="0" w:type="dxa"/>
            </w:tcMar>
            <w:vAlign w:val="center"/>
          </w:tcPr>
          <w:p>
            <w:pPr>
              <w:pStyle w:val="TableContents"/>
              <w:bidi w:val="0"/>
              <w:spacing w:before="0" w:after="283"/>
              <w:jc w:val="left"/>
              <w:rPr/>
            </w:pPr>
            <w:r>
              <w:rPr/>
              <w:t> </w:t>
            </w:r>
          </w:p>
        </w:tc>
        <w:tc>
          <w:tcPr>
            <w:tcW w:w="241" w:type="dxa"/>
            <w:tcBorders/>
            <w:shd w:fill="E7E7E2"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501" w:type="dxa"/>
            <w:tcBorders/>
            <w:shd w:fill="E7E7E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4,329,523.85</w:t>
            </w:r>
          </w:p>
        </w:tc>
        <w:tc>
          <w:tcPr>
            <w:tcW w:w="146" w:type="dxa"/>
            <w:tcBorders>
              <w:right w:val="single" w:sz="4" w:space="0" w:color="FFFFFF"/>
            </w:tcBorders>
            <w:shd w:fill="E7E7E2"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7E7E2"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E7E7E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0.00008700</w:t>
            </w:r>
          </w:p>
        </w:tc>
        <w:tc>
          <w:tcPr>
            <w:tcW w:w="146" w:type="dxa"/>
            <w:tcBorders>
              <w:right w:val="single" w:sz="4" w:space="0" w:color="FFFFFF"/>
            </w:tcBorders>
            <w:shd w:fill="E7E7E2" w:val="clear"/>
            <w:tcMar>
              <w:top w:w="0" w:type="dxa"/>
              <w:left w:w="0" w:type="dxa"/>
              <w:bottom w:w="0" w:type="dxa"/>
            </w:tcMar>
            <w:vAlign w:val="center"/>
          </w:tcPr>
          <w:p>
            <w:pPr>
              <w:pStyle w:val="TableContents"/>
              <w:bidi w:val="0"/>
              <w:spacing w:before="0" w:after="283"/>
              <w:jc w:val="left"/>
              <w:rPr/>
            </w:pPr>
            <w:r>
              <w:rPr/>
              <w:t> </w:t>
            </w:r>
          </w:p>
        </w:tc>
        <w:tc>
          <w:tcPr>
            <w:tcW w:w="334" w:type="dxa"/>
            <w:tcBorders/>
            <w:shd w:fill="E7E7E2"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67" w:type="dxa"/>
            <w:tcBorders/>
            <w:shd w:fill="E7E7E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376.67</w:t>
            </w:r>
          </w:p>
        </w:tc>
        <w:tc>
          <w:tcPr>
            <w:tcW w:w="331" w:type="dxa"/>
            <w:tcBorders>
              <w:right w:val="single" w:sz="4" w:space="0" w:color="000000"/>
            </w:tcBorders>
            <w:shd w:fill="E7E7E2" w:val="clear"/>
            <w:tcMar>
              <w:top w:w="0" w:type="dxa"/>
              <w:left w:w="0" w:type="dxa"/>
              <w:bottom w:w="0" w:type="dxa"/>
            </w:tcMar>
            <w:vAlign w:val="center"/>
          </w:tcPr>
          <w:p>
            <w:pPr>
              <w:pStyle w:val="TableContents"/>
              <w:bidi w:val="0"/>
              <w:spacing w:before="0" w:after="283"/>
              <w:jc w:val="left"/>
              <w:rPr/>
            </w:pPr>
            <w:r>
              <w:rPr/>
              <w:t> </w:t>
            </w:r>
          </w:p>
        </w:tc>
      </w:tr>
      <w:tr>
        <w:trPr/>
        <w:tc>
          <w:tcPr>
            <w:tcW w:w="5590" w:type="dxa"/>
            <w:gridSpan w:val="6"/>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Total Offering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6,448,864.70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561.05</w:t>
            </w:r>
          </w:p>
        </w:tc>
        <w:tc>
          <w:tcPr>
            <w:tcW w:w="3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5590" w:type="dxa"/>
            <w:gridSpan w:val="6"/>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Total Fee Offsets: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0.00</w:t>
            </w:r>
          </w:p>
        </w:tc>
        <w:tc>
          <w:tcPr>
            <w:tcW w:w="3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5590" w:type="dxa"/>
            <w:gridSpan w:val="6"/>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Net Fee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561.05</w:t>
            </w:r>
          </w:p>
        </w:tc>
        <w:tc>
          <w:tcPr>
            <w:tcW w:w="3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75"/>
        <w:jc w:val="left"/>
        <w:rPr>
          <w:rFonts w:ascii="Arial" w:hAnsi="Arial"/>
          <w:sz w:val="24"/>
        </w:rPr>
      </w:pPr>
      <w:r>
        <w:rPr>
          <w:rFonts w:ascii="Arial" w:hAnsi="Arial"/>
          <w:b/>
          <w:color w:val="000000"/>
          <w:sz w:val="24"/>
        </w:rPr>
        <w:t>Offering Note</w:t>
      </w:r>
      <w:r>
        <w:rPr>
          <w:rFonts w:ascii="Arial" w:hAnsi="Arial"/>
          <w:color w:val="000000"/>
          <w:sz w:val="24"/>
        </w:rPr>
        <w:t xml:space="preserve"> </w:t>
      </w:r>
    </w:p>
    <w:p>
      <w:pPr>
        <w:pStyle w:val="TextBody"/>
        <w:bidi w:val="0"/>
        <w:spacing w:lineRule="auto" w:line="360" w:before="0" w:after="0"/>
        <w:jc w:val="left"/>
        <w:rPr>
          <w:rFonts w:ascii="Arial" w:hAnsi="Arial"/>
          <w:color w:val="000000"/>
          <w:sz w:val="24"/>
        </w:rPr>
      </w:pPr>
      <w:r>
        <w:rPr>
          <w:rFonts w:ascii="Arial" w:hAnsi="Arial"/>
          <w:color w:val="000000"/>
          <w:sz w:val="24"/>
        </w:rPr>
        <w:t>1.</w:t>
      </w:r>
    </w:p>
    <w:p>
      <w:pPr>
        <w:pStyle w:val="TextBody"/>
        <w:bidi w:val="0"/>
        <w:spacing w:before="0" w:after="0"/>
        <w:jc w:val="left"/>
        <w:rPr>
          <w:rFonts w:ascii="Arial" w:hAnsi="Arial"/>
          <w:color w:val="000000"/>
          <w:sz w:val="24"/>
        </w:rPr>
      </w:pPr>
      <w:r>
        <w:rPr>
          <w:rFonts w:ascii="Arial" w:hAnsi="Arial"/>
          <w:color w:val="000000"/>
          <w:sz w:val="24"/>
        </w:rPr>
        <w:t>Represents the number of shares of Common Stock which may be issued upon the vesting and settlement of restricted stock units granted to Richard Heppenstall and Anthony Jarc pursuant to their respective Inducement Restricted Stock Unit Agreements (collectively, the “RSU Inducement Grants”), each as an inducement material to entry into employment with the Registrant under Nasdaq Listing Rule 5635(c)(4). Pursuant to Rule 416 under the Securities Act, this registration statement shall also cover any additional shares of Common Stock that become issuable under the RSU Inducement Grants by reason of any stock dividend, stock split, recapitalization or other similar transaction effected without the Registrant’s receipt of consideration that increases the number of the Registrant’s outstanding shares of Common Stock. The price set forth under the column titled “Proposed Maximum Offering Price Per Unit” represents the average of the high and the low prices per share of Common Stock as reported on Nasdaq on September 30, 2026. The registration fee has been computed in accordance with Rule 457(c) and (h) under the Securities Act.</w:t>
      </w:r>
    </w:p>
    <w:p>
      <w:pPr>
        <w:pStyle w:val="TextBody"/>
        <w:bidi w:val="0"/>
        <w:spacing w:lineRule="auto" w:line="360" w:before="0" w:after="0"/>
        <w:jc w:val="left"/>
        <w:rPr>
          <w:rFonts w:ascii="Arial" w:hAnsi="Arial"/>
          <w:color w:val="000000"/>
          <w:sz w:val="24"/>
        </w:rPr>
      </w:pPr>
      <w:r>
        <w:rPr>
          <w:rFonts w:ascii="Arial" w:hAnsi="Arial"/>
          <w:color w:val="000000"/>
          <w:sz w:val="24"/>
        </w:rPr>
        <w:t>2.</w:t>
      </w:r>
    </w:p>
    <w:p>
      <w:pPr>
        <w:pStyle w:val="TextBody"/>
        <w:bidi w:val="0"/>
        <w:spacing w:before="0" w:after="0"/>
        <w:jc w:val="left"/>
        <w:rPr>
          <w:rFonts w:ascii="Arial" w:hAnsi="Arial"/>
          <w:color w:val="000000"/>
          <w:sz w:val="24"/>
        </w:rPr>
      </w:pPr>
      <w:r>
        <w:rPr>
          <w:rFonts w:ascii="Arial" w:hAnsi="Arial"/>
          <w:color w:val="000000"/>
          <w:sz w:val="24"/>
        </w:rPr>
        <w:t>Represents the number of shares of Common Stock which may be issued upon the vesting and exercise of stock options granted to Richard Heppenstall and Anthony Jarc pursuant to their respective Inducement Stock Option Agreements (collectively, the “Option Inducement Grants”), each as an inducement material to entry into employment with the Registrant under Nasdaq Listing Rule 5635(c)(4). Pursuant to Rule 416 under the Securities Act, this registration statement shall also cover any additional shares of Common Stock that become issuable under the Option Inducement Grants by reason of any stock dividend, stock split, recapitalization or other similar transaction effected without the Registrant’s receipt of consideration that increases the number of the Registrant’s outstanding shares of Common Stock. The price set forth under the column titled “Proposed Maximum Offering Price Per Unit” represents the average of the high and the low prices per share of Common Stock as reported on Nasdaq on September 30, 2026. The registration fee has been computed in accordance with Rule 457(c) and (h) under the Securities Act.</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6812" w:type="dxa"/>
        <w:jc w:val="left"/>
        <w:tblInd w:w="0" w:type="dxa"/>
        <w:tblLayout w:type="fixed"/>
        <w:tblCellMar>
          <w:top w:w="28" w:type="dxa"/>
          <w:left w:w="28" w:type="dxa"/>
          <w:bottom w:w="28" w:type="dxa"/>
          <w:right w:w="28" w:type="dxa"/>
        </w:tblCellMar>
      </w:tblPr>
      <w:tblGrid>
        <w:gridCol w:w="4651"/>
        <w:gridCol w:w="2161"/>
      </w:tblGrid>
      <w:tr>
        <w:trPr/>
        <w:tc>
          <w:tcPr>
            <w:tcW w:w="465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4651" w:type="dxa"/>
            <w:tcBorders/>
            <w:tcMar>
              <w:top w:w="0" w:type="dxa"/>
              <w:left w:w="0" w:type="dxa"/>
              <w:bottom w:w="0" w:type="dxa"/>
              <w:right w:w="0" w:type="dxa"/>
            </w:tcMar>
            <w:vAlign w:val="center"/>
          </w:tcPr>
          <w:p>
            <w:pPr>
              <w:pStyle w:val="TableContents"/>
              <w:bidi w:val="0"/>
              <w:spacing w:before="0" w:after="40"/>
              <w:jc w:val="left"/>
              <w:rPr>
                <w:rFonts w:ascii="Arial" w:hAnsi="Arial"/>
                <w:sz w:val="24"/>
              </w:rPr>
            </w:pPr>
            <w:r>
              <w:rPr>
                <w:rFonts w:ascii="Arial" w:hAnsi="Arial"/>
                <w:b/>
                <w:color w:val="000000"/>
                <w:sz w:val="24"/>
              </w:rPr>
              <w:t>Table 2: Fee Offset Claims and Sources</w:t>
            </w:r>
            <w:r>
              <w:rPr>
                <w:rFonts w:ascii="Arial" w:hAnsi="Arial"/>
                <w:color w:val="000000"/>
                <w:sz w:val="24"/>
              </w:rPr>
              <w:t xml:space="preserve"> </w:t>
            </w:r>
          </w:p>
        </w:tc>
        <w:tc>
          <w:tcPr>
            <w:tcW w:w="2161" w:type="dxa"/>
            <w:tcBorders/>
            <w:tcMar>
              <w:top w:w="0" w:type="dxa"/>
              <w:left w:w="0" w:type="dxa"/>
              <w:bottom w:w="0" w:type="dxa"/>
              <w:right w:w="0" w:type="dxa"/>
            </w:tcMar>
            <w:vAlign w:val="center"/>
          </w:tcPr>
          <w:p>
            <w:pPr>
              <w:pStyle w:val="TableContents"/>
              <w:bidi w:val="0"/>
              <w:spacing w:before="0" w:after="40"/>
              <w:jc w:val="right"/>
              <w:rPr/>
            </w:pPr>
            <w:r>
              <w:rPr/>
              <w:drawing>
                <wp:inline distT="0" distB="0" distL="0" distR="0">
                  <wp:extent cx="171450"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71450" cy="152400"/>
                          </a:xfrm>
                          <a:prstGeom prst="rect">
                            <a:avLst/>
                          </a:prstGeom>
                        </pic:spPr>
                      </pic:pic>
                    </a:graphicData>
                  </a:graphic>
                </wp:inline>
              </w:drawing>
            </w:r>
            <w:r>
              <w:rPr>
                <w:rFonts w:ascii="Arial" w:hAnsi="Arial"/>
                <w:b/>
                <w:color w:val="000000"/>
                <w:sz w:val="24"/>
              </w:rPr>
              <w:t>Not Applicable</w:t>
            </w:r>
            <w:r>
              <w:rPr>
                <w:rFonts w:ascii="Times New Roman" w:hAnsi="Times New Roman"/>
                <w:color w:val="000000"/>
                <w:sz w:val="24"/>
              </w:rPr>
              <w:t xml:space="preserve"> </w:t>
            </w:r>
          </w:p>
        </w:tc>
      </w:tr>
    </w:tbl>
    <w:p>
      <w:pPr>
        <w:pStyle w:val="TextBody"/>
        <w:bidi w:val="0"/>
        <w:jc w:val="left"/>
        <w:rPr/>
      </w:pPr>
      <w:r>
        <w:rPr/>
        <w:t> </w:t>
      </w:r>
    </w:p>
    <w:tbl>
      <w:tblPr>
        <w:tblW w:w="11158" w:type="dxa"/>
        <w:jc w:val="left"/>
        <w:tblInd w:w="0" w:type="dxa"/>
        <w:tblLayout w:type="fixed"/>
        <w:tblCellMar>
          <w:top w:w="28" w:type="dxa"/>
          <w:left w:w="28" w:type="dxa"/>
          <w:bottom w:w="28" w:type="dxa"/>
          <w:right w:w="28" w:type="dxa"/>
        </w:tblCellMar>
      </w:tblPr>
      <w:tblGrid>
        <w:gridCol w:w="841"/>
        <w:gridCol w:w="301"/>
        <w:gridCol w:w="1051"/>
        <w:gridCol w:w="646"/>
        <w:gridCol w:w="841"/>
        <w:gridCol w:w="646"/>
        <w:gridCol w:w="646"/>
        <w:gridCol w:w="871"/>
        <w:gridCol w:w="1126"/>
        <w:gridCol w:w="1126"/>
        <w:gridCol w:w="1126"/>
        <w:gridCol w:w="1126"/>
        <w:gridCol w:w="811"/>
      </w:tblGrid>
      <w:tr>
        <w:trPr/>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841" w:type="dxa"/>
            <w:tcBorders>
              <w:top w:val="single" w:sz="4" w:space="0" w:color="000000"/>
              <w:left w:val="single" w:sz="4" w:space="0" w:color="000000"/>
              <w:right w:val="single" w:sz="4" w:space="0" w:color="FFFFFF"/>
            </w:tcBorders>
            <w:shd w:fill="9ADAF6" w:val="clear"/>
            <w:tcMar>
              <w:bottom w:w="0" w:type="dxa"/>
            </w:tcMar>
            <w:vAlign w:val="center"/>
          </w:tcPr>
          <w:p>
            <w:pPr>
              <w:pStyle w:val="TableContents"/>
              <w:bidi w:val="0"/>
              <w:spacing w:before="0" w:after="283"/>
              <w:jc w:val="center"/>
              <w:rPr/>
            </w:pPr>
            <w:r>
              <w:rPr/>
              <w:t> </w:t>
            </w:r>
          </w:p>
        </w:tc>
        <w:tc>
          <w:tcPr>
            <w:tcW w:w="301"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left"/>
              <w:rPr/>
            </w:pPr>
            <w:r>
              <w:rPr/>
              <w:t> </w:t>
            </w:r>
          </w:p>
        </w:tc>
        <w:tc>
          <w:tcPr>
            <w:tcW w:w="1051"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Registrant</w:t>
              <w:br/>
              <w:t>or Filer</w:t>
              <w:br/>
              <w:t>Name</w:t>
            </w:r>
          </w:p>
        </w:tc>
        <w:tc>
          <w:tcPr>
            <w:tcW w:w="646"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Form or</w:t>
              <w:br/>
              <w:t>Filing</w:t>
              <w:br/>
              <w:t>Type</w:t>
            </w:r>
          </w:p>
        </w:tc>
        <w:tc>
          <w:tcPr>
            <w:tcW w:w="841"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w:t>
              <w:br/>
              <w:t>Number</w:t>
            </w:r>
          </w:p>
        </w:tc>
        <w:tc>
          <w:tcPr>
            <w:tcW w:w="646"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Initial</w:t>
              <w:br/>
              <w:t>Filing</w:t>
              <w:br/>
              <w:t>Date</w:t>
            </w:r>
          </w:p>
        </w:tc>
        <w:tc>
          <w:tcPr>
            <w:tcW w:w="646"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w:t>
              <w:br/>
              <w:t>Date</w:t>
            </w:r>
          </w:p>
        </w:tc>
        <w:tc>
          <w:tcPr>
            <w:tcW w:w="871"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Fee</w:t>
              <w:br/>
              <w:t>Offset</w:t>
              <w:br/>
              <w:t>Claimed</w:t>
            </w:r>
          </w:p>
        </w:tc>
        <w:tc>
          <w:tcPr>
            <w:tcW w:w="1126"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Security</w:t>
              <w:br/>
              <w:t>Type</w:t>
              <w:br/>
              <w:t>Associated</w:t>
              <w:br/>
              <w:t>with Fee</w:t>
              <w:br/>
              <w:t>Offset</w:t>
              <w:br/>
              <w:t>Claimed</w:t>
            </w:r>
          </w:p>
        </w:tc>
        <w:tc>
          <w:tcPr>
            <w:tcW w:w="1126"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Security</w:t>
              <w:br/>
              <w:t>Title</w:t>
              <w:br/>
              <w:t>Associated</w:t>
              <w:br/>
              <w:t>with Fee</w:t>
              <w:br/>
              <w:t>Offset</w:t>
              <w:br/>
              <w:t>Claimed</w:t>
            </w:r>
          </w:p>
        </w:tc>
        <w:tc>
          <w:tcPr>
            <w:tcW w:w="1126"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Unsold</w:t>
              <w:br/>
              <w:t>Securities</w:t>
              <w:br/>
              <w:t>Associated</w:t>
              <w:br/>
              <w:t>with Fee</w:t>
              <w:br/>
              <w:t>Offset</w:t>
              <w:br/>
              <w:t>Claimed</w:t>
            </w:r>
          </w:p>
        </w:tc>
        <w:tc>
          <w:tcPr>
            <w:tcW w:w="1126" w:type="dxa"/>
            <w:tcBorders>
              <w:top w:val="single" w:sz="4" w:space="0" w:color="000000"/>
              <w:right w:val="single" w:sz="4" w:space="0" w:color="FFFFFF"/>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Unsold</w:t>
              <w:br/>
              <w:t>Aggregate</w:t>
              <w:br/>
              <w:t>Offering</w:t>
              <w:br/>
              <w:t>Amount</w:t>
              <w:br/>
              <w:t>Associated</w:t>
              <w:br/>
              <w:t>with Fee</w:t>
              <w:br/>
              <w:t>Offset</w:t>
              <w:br/>
              <w:t>Claimed</w:t>
            </w:r>
          </w:p>
        </w:tc>
        <w:tc>
          <w:tcPr>
            <w:tcW w:w="811" w:type="dxa"/>
            <w:tcBorders>
              <w:top w:val="single" w:sz="4" w:space="0" w:color="000000"/>
              <w:right w:val="single" w:sz="4" w:space="0" w:color="000000"/>
            </w:tcBorders>
            <w:shd w:fill="9ADAF6" w:val="clear"/>
            <w:tcMar>
              <w:left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Fee Paid</w:t>
              <w:br/>
              <w:t>with Fee</w:t>
              <w:br/>
              <w:t>Offset</w:t>
              <w:br/>
              <w:t>Source</w:t>
            </w:r>
          </w:p>
        </w:tc>
      </w:tr>
      <w:tr>
        <w:trPr/>
        <w:tc>
          <w:tcPr>
            <w:tcW w:w="11158" w:type="dxa"/>
            <w:gridSpan w:val="1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Rule 457(p)</w:t>
            </w:r>
          </w:p>
        </w:tc>
      </w:tr>
      <w:tr>
        <w:trPr/>
        <w:tc>
          <w:tcPr>
            <w:tcW w:w="841" w:type="dxa"/>
            <w:tcBorders>
              <w:left w:val="single" w:sz="4" w:space="0" w:color="000000"/>
              <w:bottom w:val="single" w:sz="4" w:space="0" w:color="FFFFFF"/>
              <w:right w:val="single" w:sz="4" w:space="0" w:color="FFFFFF"/>
            </w:tcBorders>
            <w:shd w:fill="E7E7E2"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Fee Offset Claims</w:t>
            </w:r>
          </w:p>
        </w:tc>
        <w:tc>
          <w:tcPr>
            <w:tcW w:w="301"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1051"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w:t>
            </w:r>
          </w:p>
        </w:tc>
        <w:tc>
          <w:tcPr>
            <w:tcW w:w="64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841"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64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64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871"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12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w:t>
            </w:r>
          </w:p>
        </w:tc>
        <w:tc>
          <w:tcPr>
            <w:tcW w:w="112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w:t>
            </w:r>
          </w:p>
        </w:tc>
        <w:tc>
          <w:tcPr>
            <w:tcW w:w="112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126" w:type="dxa"/>
            <w:tcBorders>
              <w:bottom w:val="single" w:sz="4" w:space="0" w:color="FFFFFF"/>
              <w:right w:val="single" w:sz="4" w:space="0" w:color="FFFFFF"/>
            </w:tcBorders>
            <w:shd w:fill="E7E7E2"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811" w:type="dxa"/>
            <w:tcBorders>
              <w:bottom w:val="single" w:sz="4" w:space="0" w:color="FFFFFF"/>
              <w:right w:val="single" w:sz="4" w:space="0" w:color="000000"/>
            </w:tcBorders>
            <w:shd w:fill="E7E7E2"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r>
      <w:tr>
        <w:trPr/>
        <w:tc>
          <w:tcPr>
            <w:tcW w:w="841" w:type="dxa"/>
            <w:tcBorders>
              <w:left w:val="single" w:sz="4" w:space="0" w:color="000000"/>
              <w:bottom w:val="single" w:sz="4" w:space="0" w:color="000000"/>
              <w:right w:val="single" w:sz="4" w:space="0" w:color="FFFFFF"/>
            </w:tcBorders>
            <w:shd w:fill="E7E7E2"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Fee Offset Sources</w:t>
            </w:r>
          </w:p>
        </w:tc>
        <w:tc>
          <w:tcPr>
            <w:tcW w:w="301"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1051"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w:t>
            </w:r>
          </w:p>
        </w:tc>
        <w:tc>
          <w:tcPr>
            <w:tcW w:w="646"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841"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646"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646"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871"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126"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w:t>
            </w:r>
          </w:p>
        </w:tc>
        <w:tc>
          <w:tcPr>
            <w:tcW w:w="1126"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w:t>
            </w:r>
          </w:p>
        </w:tc>
        <w:tc>
          <w:tcPr>
            <w:tcW w:w="1126"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126" w:type="dxa"/>
            <w:tcBorders>
              <w:bottom w:val="single" w:sz="4" w:space="0" w:color="000000"/>
              <w:right w:val="single" w:sz="4" w:space="0" w:color="FFFFFF"/>
            </w:tcBorders>
            <w:shd w:fill="E7E7E2"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811" w:type="dxa"/>
            <w:tcBorders>
              <w:bottom w:val="single" w:sz="4" w:space="0" w:color="000000"/>
              <w:right w:val="single" w:sz="4" w:space="0" w:color="000000"/>
            </w:tcBorders>
            <w:shd w:fill="E7E7E2"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aramond">
    <w:altName w:val="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794546/000119312526071551/carl-20251231.htm" TargetMode="External"/><Relationship Id="rId3" Type="http://schemas.openxmlformats.org/officeDocument/2006/relationships/hyperlink" Target="https://www.sec.gov/ix?doc=/Archives/edgar/data/0001794546/000179454626000005/carl-20260420.htm" TargetMode="External"/><Relationship Id="rId4" Type="http://schemas.openxmlformats.org/officeDocument/2006/relationships/hyperlink" Target="https://www.sec.gov/ix?doc=/Archives/edgar/data/0001794546/000179454626000011/carl-20260331.htm" TargetMode="External"/><Relationship Id="rId5" Type="http://schemas.openxmlformats.org/officeDocument/2006/relationships/hyperlink" Target="https://www.sec.gov/ix?doc=/Archives/edgar/data/0001794546/000179454626000016/carl-20260630.htm" TargetMode="External"/><Relationship Id="rId6" Type="http://schemas.openxmlformats.org/officeDocument/2006/relationships/hyperlink" Target="https://www.sec.gov/ix?doc=/Archives/edgar/data/0001794546/000119312526255404/carl-20260603.htm" TargetMode="External"/><Relationship Id="rId7" Type="http://schemas.openxmlformats.org/officeDocument/2006/relationships/hyperlink" Target="https://www.sec.gov/ix?doc=/Archives/edgar/data/0001794546/000179454626000018/carl-20260904.htm" TargetMode="External"/><Relationship Id="rId8" Type="http://schemas.openxmlformats.org/officeDocument/2006/relationships/hyperlink" Target="https://www.sec.gov/Archives/edgar/data/1794546/000179454626000020/carl-20260924.htm" TargetMode="External"/><Relationship Id="rId9" Type="http://schemas.openxmlformats.org/officeDocument/2006/relationships/hyperlink" Target="https://www.sec.gov/ix?doc=/Archives/edgar/data/0001794546/000119312526071551/carl-20251231.htm" TargetMode="External"/><Relationship Id="rId10" Type="http://schemas.openxmlformats.org/officeDocument/2006/relationships/hyperlink" Target="https://www.sec.gov/ix?doc=/Archives/edgar/data/0001794546/000119312526071551/carl-20251231.htm" TargetMode="External"/><Relationship Id="rId11" Type="http://schemas.openxmlformats.org/officeDocument/2006/relationships/hyperlink" Target="https://www.sec.gov/Archives/edgar/data/1794546/000095017025098327/carl-ex3_1.htm" TargetMode="External"/><Relationship Id="rId12" Type="http://schemas.openxmlformats.org/officeDocument/2006/relationships/hyperlink" Target="https://www.sec.gov/Archives/edgar/data/1794546/000095017025098327/carl-ex3_1.htm" TargetMode="External"/><Relationship Id="rId13" Type="http://schemas.openxmlformats.org/officeDocument/2006/relationships/hyperlink" Target="https://www.sec.gov/Archives/edgar/data/1794546/000095017025098327/carl-ex3_2.htm" TargetMode="External"/><Relationship Id="rId14" Type="http://schemas.openxmlformats.org/officeDocument/2006/relationships/hyperlink" Target="https://www.sec.gov/Archives/edgar/data/1794546/000095017025098327/carl-ex3_2.htm" TargetMode="External"/><Relationship Id="rId15" Type="http://schemas.openxmlformats.org/officeDocument/2006/relationships/hyperlink" Target="https://www.sec.gov/Archives/edgar/data/1794546/000179454626000020/carl-ex10_5.htm" TargetMode="External"/><Relationship Id="rId16" Type="http://schemas.openxmlformats.org/officeDocument/2006/relationships/hyperlink" Target="https://www.sec.gov/Archives/edgar/data/1794546/000179454626000020/carl-ex10_6.htm" TargetMode="External"/><Relationship Id="rId17" Type="http://schemas.openxmlformats.org/officeDocument/2006/relationships/image" Target="media/image1.gif"/><Relationship Id="rId18" Type="http://schemas.openxmlformats.org/officeDocument/2006/relationships/image" Target="media/image1.gif"/><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10084</Words>
  <Characters>52570</Characters>
  <CharactersWithSpaces>62474</CharactersWithSpaces>
  <Paragraphs>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